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D65EE" w14:textId="202C331D" w:rsidR="00214C57" w:rsidRDefault="00A93677" w:rsidP="00214C57">
      <w:pPr>
        <w:pStyle w:val="Head4-BSA-AML"/>
        <w:jc w:val="center"/>
      </w:pPr>
      <w:r w:rsidRPr="00A93677">
        <w:rPr>
          <w:rFonts w:cs="Arial"/>
          <w:szCs w:val="36"/>
        </w:rPr>
        <w:t>Customer Identification Program Examination and Testing Procedures</w:t>
      </w:r>
    </w:p>
    <w:p w14:paraId="653C10A8" w14:textId="49493BBB" w:rsidR="00214C57" w:rsidRPr="00A93677" w:rsidRDefault="00214C57" w:rsidP="00214C57">
      <w:pPr>
        <w:rPr>
          <w:i/>
          <w:sz w:val="24"/>
          <w:szCs w:val="24"/>
        </w:rPr>
      </w:pPr>
      <w:r w:rsidRPr="00A93677">
        <w:rPr>
          <w:rStyle w:val="Head7-BSA-AMLCharChar"/>
          <w:szCs w:val="24"/>
        </w:rPr>
        <w:t>Objective.</w:t>
      </w:r>
      <w:r w:rsidRPr="00A93677">
        <w:rPr>
          <w:sz w:val="24"/>
          <w:szCs w:val="24"/>
        </w:rPr>
        <w:t xml:space="preserve">  </w:t>
      </w:r>
      <w:r w:rsidR="00A93677" w:rsidRPr="00A93677">
        <w:rPr>
          <w:i/>
          <w:sz w:val="24"/>
          <w:szCs w:val="24"/>
        </w:rPr>
        <w:t>Assess the bank’s</w:t>
      </w:r>
      <w:r w:rsidR="00A93677" w:rsidRPr="00A93677">
        <w:rPr>
          <w:rStyle w:val="Bodyindent-BSA-AMLChar"/>
          <w:rFonts w:eastAsiaTheme="majorEastAsia"/>
          <w:i/>
          <w:szCs w:val="24"/>
        </w:rPr>
        <w:t xml:space="preserve"> compliance with the BSA regulatory requirements for the Customer Identification Program (CIP).</w:t>
      </w:r>
    </w:p>
    <w:p w14:paraId="4C57FBE2" w14:textId="77777777" w:rsidR="00214C57" w:rsidRDefault="00214C57" w:rsidP="00214C57">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278"/>
      </w:tblGrid>
      <w:tr w:rsidR="00A93677" w:rsidRPr="00EC4C3D" w14:paraId="183A824D" w14:textId="77777777" w:rsidTr="00A93677">
        <w:trPr>
          <w:tblHeader/>
        </w:trPr>
        <w:tc>
          <w:tcPr>
            <w:tcW w:w="2554" w:type="pct"/>
            <w:tcBorders>
              <w:bottom w:val="single" w:sz="4" w:space="0" w:color="auto"/>
            </w:tcBorders>
            <w:shd w:val="clear" w:color="auto" w:fill="E0E0E0"/>
          </w:tcPr>
          <w:p w14:paraId="12761AD1" w14:textId="77777777" w:rsidR="00A93677" w:rsidRPr="00EC4C3D" w:rsidRDefault="00A93677" w:rsidP="00A81956">
            <w:pPr>
              <w:rPr>
                <w:b/>
                <w:sz w:val="28"/>
                <w:szCs w:val="28"/>
              </w:rPr>
            </w:pPr>
            <w:r w:rsidRPr="00EC4C3D">
              <w:rPr>
                <w:b/>
                <w:sz w:val="28"/>
                <w:szCs w:val="28"/>
              </w:rPr>
              <w:t>Procedure</w:t>
            </w:r>
          </w:p>
        </w:tc>
        <w:tc>
          <w:tcPr>
            <w:tcW w:w="2446" w:type="pct"/>
            <w:tcBorders>
              <w:bottom w:val="single" w:sz="4" w:space="0" w:color="auto"/>
            </w:tcBorders>
            <w:shd w:val="clear" w:color="auto" w:fill="E0E0E0"/>
          </w:tcPr>
          <w:p w14:paraId="57EF73CE" w14:textId="77777777" w:rsidR="00A93677" w:rsidRPr="00EC4C3D" w:rsidRDefault="00A93677" w:rsidP="00A81956">
            <w:pPr>
              <w:rPr>
                <w:b/>
                <w:sz w:val="28"/>
                <w:szCs w:val="28"/>
              </w:rPr>
            </w:pPr>
            <w:r w:rsidRPr="00EC4C3D">
              <w:rPr>
                <w:b/>
                <w:sz w:val="28"/>
                <w:szCs w:val="28"/>
              </w:rPr>
              <w:t>Comments</w:t>
            </w:r>
          </w:p>
        </w:tc>
      </w:tr>
      <w:tr w:rsidR="00A93677" w:rsidRPr="00EC4C3D" w14:paraId="29900B03" w14:textId="77777777" w:rsidTr="00A93677">
        <w:tc>
          <w:tcPr>
            <w:tcW w:w="2554" w:type="pct"/>
            <w:shd w:val="clear" w:color="auto" w:fill="auto"/>
          </w:tcPr>
          <w:p w14:paraId="17A57CFF" w14:textId="77777777" w:rsidR="00A93677" w:rsidRPr="00EC6995" w:rsidRDefault="00A93677" w:rsidP="00A93677">
            <w:pPr>
              <w:pStyle w:val="NumberedBSA-AMLList"/>
              <w:numPr>
                <w:ilvl w:val="0"/>
                <w:numId w:val="23"/>
              </w:numPr>
              <w:ind w:left="360"/>
              <w:rPr>
                <w:rFonts w:eastAsiaTheme="majorEastAsia"/>
                <w:sz w:val="22"/>
                <w:szCs w:val="22"/>
              </w:rPr>
            </w:pPr>
            <w:r w:rsidRPr="00EC6995">
              <w:rPr>
                <w:sz w:val="22"/>
                <w:szCs w:val="22"/>
              </w:rPr>
              <w:t>Verify that the bank has a written CIP appropriate for its size and type of business.  The written program must be included within the bank’s BSA/AML compliance program and must contain procedures that address:</w:t>
            </w:r>
          </w:p>
          <w:p w14:paraId="42B8FEE1" w14:textId="77777777" w:rsidR="00A93677" w:rsidRPr="00EC6995" w:rsidRDefault="00A93677" w:rsidP="00A93677">
            <w:pPr>
              <w:pStyle w:val="Bulletlist2ndlevel-BSA-AML"/>
              <w:numPr>
                <w:ilvl w:val="0"/>
                <w:numId w:val="21"/>
              </w:numPr>
              <w:tabs>
                <w:tab w:val="left" w:pos="360"/>
              </w:tabs>
              <w:spacing w:after="140"/>
              <w:rPr>
                <w:sz w:val="22"/>
                <w:szCs w:val="22"/>
              </w:rPr>
            </w:pPr>
            <w:r w:rsidRPr="00EC6995">
              <w:rPr>
                <w:sz w:val="22"/>
                <w:szCs w:val="22"/>
              </w:rPr>
              <w:t>Obtaining the required identifying information (including name, date of birth for an individual, address, and identification number).</w:t>
            </w:r>
          </w:p>
          <w:p w14:paraId="4E16D913" w14:textId="77777777" w:rsidR="00A93677" w:rsidRPr="00EC6995" w:rsidRDefault="00A93677" w:rsidP="00A93677">
            <w:pPr>
              <w:pStyle w:val="Bulletlist2ndlevel-BSA-AML"/>
              <w:numPr>
                <w:ilvl w:val="0"/>
                <w:numId w:val="21"/>
              </w:numPr>
              <w:tabs>
                <w:tab w:val="left" w:pos="360"/>
              </w:tabs>
              <w:spacing w:after="140"/>
              <w:rPr>
                <w:sz w:val="22"/>
                <w:szCs w:val="22"/>
              </w:rPr>
            </w:pPr>
            <w:r w:rsidRPr="00EC6995">
              <w:rPr>
                <w:sz w:val="22"/>
                <w:szCs w:val="22"/>
              </w:rPr>
              <w:t>Verifying the identity of each customer to the extent reasonable and practicable through risk-based procedures.</w:t>
            </w:r>
          </w:p>
          <w:p w14:paraId="5D9297D9" w14:textId="77777777" w:rsidR="00A93677" w:rsidRPr="00EC6995" w:rsidRDefault="00A93677" w:rsidP="00A93677">
            <w:pPr>
              <w:pStyle w:val="Bulletlist2ndlevel-BSA-AML"/>
              <w:numPr>
                <w:ilvl w:val="0"/>
                <w:numId w:val="21"/>
              </w:numPr>
              <w:tabs>
                <w:tab w:val="left" w:pos="360"/>
              </w:tabs>
              <w:spacing w:after="140"/>
              <w:rPr>
                <w:sz w:val="22"/>
                <w:szCs w:val="22"/>
              </w:rPr>
            </w:pPr>
            <w:r w:rsidRPr="00EC6995">
              <w:rPr>
                <w:sz w:val="22"/>
                <w:szCs w:val="22"/>
              </w:rPr>
              <w:t xml:space="preserve">Responding to circumstances in which the bank cannot form a reasonable belief that it knows the </w:t>
            </w:r>
            <w:proofErr w:type="gramStart"/>
            <w:r w:rsidRPr="00EC6995">
              <w:rPr>
                <w:sz w:val="22"/>
                <w:szCs w:val="22"/>
              </w:rPr>
              <w:t>true identity</w:t>
            </w:r>
            <w:proofErr w:type="gramEnd"/>
            <w:r w:rsidRPr="00EC6995">
              <w:rPr>
                <w:sz w:val="22"/>
                <w:szCs w:val="22"/>
              </w:rPr>
              <w:t xml:space="preserve"> of a customer, including determining when a suspicious activity report (SAR) should be filed.</w:t>
            </w:r>
          </w:p>
          <w:p w14:paraId="5BD859E4" w14:textId="77777777" w:rsidR="00A93677" w:rsidRPr="00EC6995" w:rsidRDefault="00A93677" w:rsidP="00A93677">
            <w:pPr>
              <w:pStyle w:val="Bulletlist2ndlevel-BSA-AML"/>
              <w:numPr>
                <w:ilvl w:val="0"/>
                <w:numId w:val="17"/>
              </w:numPr>
              <w:tabs>
                <w:tab w:val="left" w:pos="360"/>
              </w:tabs>
              <w:spacing w:after="140"/>
              <w:rPr>
                <w:sz w:val="22"/>
                <w:szCs w:val="22"/>
              </w:rPr>
            </w:pPr>
            <w:r w:rsidRPr="00EC6995">
              <w:rPr>
                <w:sz w:val="22"/>
                <w:szCs w:val="22"/>
              </w:rPr>
              <w:t>Complying with recordkeeping requirements.</w:t>
            </w:r>
          </w:p>
          <w:p w14:paraId="15FD558D" w14:textId="77777777" w:rsidR="00A93677" w:rsidRPr="00EC6995" w:rsidRDefault="00A93677" w:rsidP="00A93677">
            <w:pPr>
              <w:pStyle w:val="Bulletlist2ndlevel-BSA-AML"/>
              <w:numPr>
                <w:ilvl w:val="0"/>
                <w:numId w:val="16"/>
              </w:numPr>
              <w:tabs>
                <w:tab w:val="left" w:pos="360"/>
              </w:tabs>
              <w:spacing w:after="140"/>
              <w:rPr>
                <w:sz w:val="22"/>
                <w:szCs w:val="22"/>
              </w:rPr>
            </w:pPr>
            <w:r w:rsidRPr="00EC6995">
              <w:rPr>
                <w:sz w:val="22"/>
                <w:szCs w:val="22"/>
              </w:rPr>
              <w:t xml:space="preserve">Timely checking of new accounts against prescribed government lists, if applicable.  </w:t>
            </w:r>
          </w:p>
          <w:p w14:paraId="32C7ADE8" w14:textId="77777777" w:rsidR="00A93677" w:rsidRPr="00EC6995" w:rsidRDefault="00A93677" w:rsidP="00A93677">
            <w:pPr>
              <w:pStyle w:val="Bulletlist2ndlevel-BSA-AML"/>
              <w:numPr>
                <w:ilvl w:val="0"/>
                <w:numId w:val="16"/>
              </w:numPr>
              <w:tabs>
                <w:tab w:val="left" w:pos="360"/>
              </w:tabs>
              <w:spacing w:after="140"/>
              <w:rPr>
                <w:sz w:val="22"/>
                <w:szCs w:val="22"/>
              </w:rPr>
            </w:pPr>
            <w:r w:rsidRPr="00EC6995">
              <w:rPr>
                <w:sz w:val="22"/>
                <w:szCs w:val="22"/>
              </w:rPr>
              <w:t>Providing adequate customer notice.</w:t>
            </w:r>
          </w:p>
          <w:p w14:paraId="31677326" w14:textId="77777777" w:rsidR="00A93677" w:rsidRPr="00EC6995" w:rsidRDefault="00A93677" w:rsidP="00A93677">
            <w:pPr>
              <w:pStyle w:val="Bulletlist2ndlevel-BSA-AML"/>
              <w:numPr>
                <w:ilvl w:val="0"/>
                <w:numId w:val="16"/>
              </w:numPr>
              <w:tabs>
                <w:tab w:val="left" w:pos="360"/>
              </w:tabs>
              <w:spacing w:after="140"/>
              <w:rPr>
                <w:sz w:val="22"/>
                <w:szCs w:val="22"/>
              </w:rPr>
            </w:pPr>
            <w:r w:rsidRPr="00EC6995">
              <w:rPr>
                <w:sz w:val="22"/>
                <w:szCs w:val="22"/>
              </w:rPr>
              <w:t>Relying on another financial institution that has an AML compliance program and is regulated by a federal functional regulator, if applicable.</w:t>
            </w:r>
          </w:p>
        </w:tc>
        <w:tc>
          <w:tcPr>
            <w:tcW w:w="2446" w:type="pct"/>
            <w:shd w:val="clear" w:color="auto" w:fill="auto"/>
          </w:tcPr>
          <w:p w14:paraId="68B958C9" w14:textId="77777777" w:rsidR="00A93677" w:rsidRPr="00EC6995" w:rsidRDefault="00A93677" w:rsidP="00A81956">
            <w:pPr>
              <w:rPr>
                <w:sz w:val="22"/>
                <w:szCs w:val="22"/>
              </w:rPr>
            </w:pPr>
          </w:p>
        </w:tc>
      </w:tr>
      <w:tr w:rsidR="00A93677" w:rsidRPr="00EC4C3D" w14:paraId="6E8626A9" w14:textId="77777777" w:rsidTr="00A93677">
        <w:tc>
          <w:tcPr>
            <w:tcW w:w="2554" w:type="pct"/>
            <w:shd w:val="clear" w:color="auto" w:fill="auto"/>
          </w:tcPr>
          <w:p w14:paraId="16032C76" w14:textId="77777777" w:rsidR="00A93677" w:rsidRPr="00EC6995" w:rsidRDefault="00A93677" w:rsidP="00A93677">
            <w:pPr>
              <w:pStyle w:val="NumberedBSA-AMLList"/>
              <w:numPr>
                <w:ilvl w:val="0"/>
                <w:numId w:val="23"/>
              </w:numPr>
              <w:ind w:left="360"/>
              <w:rPr>
                <w:sz w:val="22"/>
                <w:szCs w:val="22"/>
              </w:rPr>
            </w:pPr>
            <w:r w:rsidRPr="00EC6995">
              <w:rPr>
                <w:sz w:val="22"/>
                <w:szCs w:val="22"/>
              </w:rPr>
              <w:t>Verify that the bank establishes appropriate controls and review procedures for its relationships with third parties, if applicable.  If the bank is using a third party, such as an agent or service provider, to perform elements of its CIP, determine whether the bank has procedures in place to monitor for and ensure adequate performance.</w:t>
            </w:r>
          </w:p>
        </w:tc>
        <w:tc>
          <w:tcPr>
            <w:tcW w:w="2446" w:type="pct"/>
            <w:shd w:val="clear" w:color="auto" w:fill="auto"/>
          </w:tcPr>
          <w:p w14:paraId="12CD7174" w14:textId="77777777" w:rsidR="00A93677" w:rsidRPr="00EC6995" w:rsidRDefault="00A93677" w:rsidP="00A81956">
            <w:pPr>
              <w:rPr>
                <w:sz w:val="22"/>
                <w:szCs w:val="22"/>
              </w:rPr>
            </w:pPr>
          </w:p>
        </w:tc>
      </w:tr>
      <w:tr w:rsidR="00A93677" w:rsidRPr="00EC4C3D" w14:paraId="6C2A43A2" w14:textId="77777777" w:rsidTr="00A93677">
        <w:tc>
          <w:tcPr>
            <w:tcW w:w="2554" w:type="pct"/>
            <w:shd w:val="clear" w:color="auto" w:fill="auto"/>
          </w:tcPr>
          <w:p w14:paraId="2B861217" w14:textId="77777777" w:rsidR="00A93677" w:rsidRPr="00EC6995" w:rsidRDefault="00A93677" w:rsidP="00A93677">
            <w:pPr>
              <w:pStyle w:val="NumberedBSA-AMLList"/>
              <w:numPr>
                <w:ilvl w:val="0"/>
                <w:numId w:val="23"/>
              </w:numPr>
              <w:ind w:left="360"/>
              <w:rPr>
                <w:sz w:val="22"/>
                <w:szCs w:val="22"/>
              </w:rPr>
            </w:pPr>
            <w:r w:rsidRPr="00EC6995">
              <w:rPr>
                <w:sz w:val="22"/>
                <w:szCs w:val="22"/>
              </w:rPr>
              <w:t>Determine whether the bank’s CIP appropriately considers the types of accounts maintained; methods of account opening; the types of identifying information available; and the bank’s size, location, and customer base.</w:t>
            </w:r>
          </w:p>
        </w:tc>
        <w:tc>
          <w:tcPr>
            <w:tcW w:w="2446" w:type="pct"/>
            <w:shd w:val="clear" w:color="auto" w:fill="auto"/>
          </w:tcPr>
          <w:p w14:paraId="5170B706" w14:textId="77777777" w:rsidR="00A93677" w:rsidRPr="00EC6995" w:rsidRDefault="00A93677" w:rsidP="00A81956">
            <w:pPr>
              <w:rPr>
                <w:sz w:val="22"/>
                <w:szCs w:val="22"/>
              </w:rPr>
            </w:pPr>
          </w:p>
        </w:tc>
      </w:tr>
      <w:tr w:rsidR="00A93677" w:rsidRPr="00EC4C3D" w14:paraId="22F5F559" w14:textId="77777777" w:rsidTr="00A93677">
        <w:tc>
          <w:tcPr>
            <w:tcW w:w="2554" w:type="pct"/>
            <w:shd w:val="clear" w:color="auto" w:fill="auto"/>
          </w:tcPr>
          <w:p w14:paraId="2C71919E" w14:textId="77777777" w:rsidR="00A93677" w:rsidRPr="00EC6995" w:rsidRDefault="00A93677" w:rsidP="00A93677">
            <w:pPr>
              <w:pStyle w:val="NumberedBSA-AMLList"/>
              <w:numPr>
                <w:ilvl w:val="0"/>
                <w:numId w:val="23"/>
              </w:numPr>
              <w:ind w:left="360"/>
              <w:rPr>
                <w:sz w:val="22"/>
                <w:szCs w:val="22"/>
              </w:rPr>
            </w:pPr>
            <w:r w:rsidRPr="00EC6995">
              <w:rPr>
                <w:sz w:val="22"/>
                <w:szCs w:val="22"/>
              </w:rPr>
              <w:t xml:space="preserve">Select a sample of new accounts opened since the most recent examination to review for compliance with the bank’s CIP.  The sample should include a cross-section of accounts as indicated by the bank’s risk assessment </w:t>
            </w:r>
            <w:r w:rsidRPr="00EC6995">
              <w:rPr>
                <w:sz w:val="22"/>
                <w:szCs w:val="22"/>
              </w:rPr>
              <w:lastRenderedPageBreak/>
              <w:t>(e.g., consumers and businesses, loans and deposits, credit card relationships, and accounts opened via U.S. mail and online).  The sample should also, on a risk basis, include the following:</w:t>
            </w:r>
          </w:p>
          <w:p w14:paraId="1BEC264E" w14:textId="77777777" w:rsidR="00A93677" w:rsidRPr="00EC6995" w:rsidRDefault="00A93677" w:rsidP="00A93677">
            <w:pPr>
              <w:pStyle w:val="Bulletlist2ndlevel-BSA-AML"/>
              <w:numPr>
                <w:ilvl w:val="0"/>
                <w:numId w:val="18"/>
              </w:numPr>
              <w:tabs>
                <w:tab w:val="left" w:pos="360"/>
              </w:tabs>
              <w:spacing w:after="140"/>
              <w:rPr>
                <w:sz w:val="22"/>
                <w:szCs w:val="22"/>
              </w:rPr>
            </w:pPr>
            <w:r w:rsidRPr="00EC6995">
              <w:rPr>
                <w:sz w:val="22"/>
                <w:szCs w:val="22"/>
              </w:rPr>
              <w:t>New accounts opened using the exception for customers that have applied for a TIN.</w:t>
            </w:r>
          </w:p>
          <w:p w14:paraId="4D8631E3" w14:textId="77777777" w:rsidR="00A93677" w:rsidRPr="00EC6995" w:rsidDel="00630DD4" w:rsidRDefault="00A93677" w:rsidP="00A93677">
            <w:pPr>
              <w:pStyle w:val="Bulletlist2ndlevel-BSA-AML"/>
              <w:numPr>
                <w:ilvl w:val="0"/>
                <w:numId w:val="18"/>
              </w:numPr>
              <w:tabs>
                <w:tab w:val="left" w:pos="360"/>
              </w:tabs>
              <w:spacing w:after="140"/>
              <w:rPr>
                <w:sz w:val="22"/>
                <w:szCs w:val="22"/>
              </w:rPr>
            </w:pPr>
            <w:r w:rsidRPr="00EC6995" w:rsidDel="00630DD4">
              <w:rPr>
                <w:sz w:val="22"/>
                <w:szCs w:val="22"/>
              </w:rPr>
              <w:t>New accounts opened using documentary methods, and new accounts opened using non-documentary methods.</w:t>
            </w:r>
          </w:p>
          <w:p w14:paraId="3034AA1B" w14:textId="77777777" w:rsidR="00A93677" w:rsidRPr="00EC6995" w:rsidRDefault="00A93677" w:rsidP="00A93677">
            <w:pPr>
              <w:pStyle w:val="Bulletlist2ndlevel-BSA-AML"/>
              <w:numPr>
                <w:ilvl w:val="0"/>
                <w:numId w:val="18"/>
              </w:numPr>
              <w:tabs>
                <w:tab w:val="left" w:pos="360"/>
              </w:tabs>
              <w:spacing w:after="140"/>
              <w:rPr>
                <w:sz w:val="22"/>
                <w:szCs w:val="22"/>
              </w:rPr>
            </w:pPr>
            <w:r w:rsidRPr="00EC6995">
              <w:rPr>
                <w:sz w:val="22"/>
                <w:szCs w:val="22"/>
              </w:rPr>
              <w:t>New accounts identified by the bank as higher risk.</w:t>
            </w:r>
            <w:r w:rsidRPr="00EC6995" w:rsidDel="004C46CE">
              <w:rPr>
                <w:rStyle w:val="FootnoteReference"/>
                <w:rFonts w:eastAsiaTheme="majorEastAsia"/>
                <w:sz w:val="22"/>
                <w:szCs w:val="22"/>
              </w:rPr>
              <w:t xml:space="preserve"> </w:t>
            </w:r>
          </w:p>
          <w:p w14:paraId="6F6EA313" w14:textId="77777777" w:rsidR="00A93677" w:rsidRPr="00EC6995" w:rsidRDefault="00A93677" w:rsidP="00A93677">
            <w:pPr>
              <w:pStyle w:val="Bulletlist2ndlevel-BSA-AML"/>
              <w:numPr>
                <w:ilvl w:val="0"/>
                <w:numId w:val="18"/>
              </w:numPr>
              <w:tabs>
                <w:tab w:val="left" w:pos="360"/>
              </w:tabs>
              <w:spacing w:after="140"/>
              <w:rPr>
                <w:sz w:val="22"/>
                <w:szCs w:val="22"/>
              </w:rPr>
            </w:pPr>
            <w:r w:rsidRPr="00EC6995">
              <w:rPr>
                <w:sz w:val="22"/>
                <w:szCs w:val="22"/>
              </w:rPr>
              <w:t>New accounts opened with incomplete verification information, if applicable.</w:t>
            </w:r>
          </w:p>
          <w:p w14:paraId="027304DF" w14:textId="77777777" w:rsidR="00A93677" w:rsidRPr="00EC6995" w:rsidRDefault="00A93677" w:rsidP="00A93677">
            <w:pPr>
              <w:pStyle w:val="Bulletlist2ndlevel-BSA-AML"/>
              <w:numPr>
                <w:ilvl w:val="0"/>
                <w:numId w:val="18"/>
              </w:numPr>
              <w:tabs>
                <w:tab w:val="left" w:pos="360"/>
              </w:tabs>
              <w:spacing w:after="140"/>
              <w:rPr>
                <w:sz w:val="22"/>
                <w:szCs w:val="22"/>
              </w:rPr>
            </w:pPr>
            <w:r w:rsidRPr="00EC6995">
              <w:rPr>
                <w:sz w:val="22"/>
                <w:szCs w:val="22"/>
              </w:rPr>
              <w:t>New accounts opened by a third party as the bank’s agent (e.g., indirect loans), if applicable.</w:t>
            </w:r>
          </w:p>
        </w:tc>
        <w:tc>
          <w:tcPr>
            <w:tcW w:w="2446" w:type="pct"/>
            <w:shd w:val="clear" w:color="auto" w:fill="auto"/>
          </w:tcPr>
          <w:p w14:paraId="118E80F5" w14:textId="77777777" w:rsidR="00A93677" w:rsidRPr="00EC6995" w:rsidRDefault="00A93677" w:rsidP="00A81956">
            <w:pPr>
              <w:rPr>
                <w:sz w:val="22"/>
                <w:szCs w:val="22"/>
              </w:rPr>
            </w:pPr>
          </w:p>
        </w:tc>
      </w:tr>
      <w:tr w:rsidR="00A93677" w:rsidRPr="00EC4C3D" w14:paraId="1CDA3F9B" w14:textId="77777777" w:rsidTr="00A93677">
        <w:tc>
          <w:tcPr>
            <w:tcW w:w="2554" w:type="pct"/>
            <w:shd w:val="clear" w:color="auto" w:fill="auto"/>
          </w:tcPr>
          <w:p w14:paraId="50D2269B" w14:textId="77777777" w:rsidR="00A93677" w:rsidRPr="00EC6995" w:rsidRDefault="00A93677" w:rsidP="00A93677">
            <w:pPr>
              <w:pStyle w:val="NumberedBSA-AMLList"/>
              <w:numPr>
                <w:ilvl w:val="0"/>
                <w:numId w:val="23"/>
              </w:numPr>
              <w:ind w:left="360"/>
              <w:rPr>
                <w:sz w:val="22"/>
                <w:szCs w:val="22"/>
              </w:rPr>
            </w:pPr>
            <w:r w:rsidRPr="00EC6995">
              <w:rPr>
                <w:sz w:val="22"/>
                <w:szCs w:val="22"/>
              </w:rPr>
              <w:t>From the previous sample of new accounts, determine whether the bank has performed the following procedures:</w:t>
            </w:r>
          </w:p>
          <w:p w14:paraId="291FE8E5" w14:textId="77777777" w:rsidR="00A93677" w:rsidRPr="00EC6995" w:rsidRDefault="00A93677" w:rsidP="00A93677">
            <w:pPr>
              <w:pStyle w:val="Bulletlist2ndlevel-BSA-AML"/>
              <w:numPr>
                <w:ilvl w:val="0"/>
                <w:numId w:val="19"/>
              </w:numPr>
              <w:tabs>
                <w:tab w:val="left" w:pos="360"/>
              </w:tabs>
              <w:spacing w:after="140"/>
              <w:rPr>
                <w:sz w:val="22"/>
                <w:szCs w:val="22"/>
              </w:rPr>
            </w:pPr>
            <w:r w:rsidRPr="00EC6995">
              <w:rPr>
                <w:sz w:val="22"/>
                <w:szCs w:val="22"/>
              </w:rPr>
              <w:t>Opened the account in accordance with the bank’s policies, procedures, and processes for CIP.</w:t>
            </w:r>
          </w:p>
          <w:p w14:paraId="483651D6" w14:textId="77777777" w:rsidR="00A93677" w:rsidRPr="00EC6995" w:rsidRDefault="00A93677" w:rsidP="00A93677">
            <w:pPr>
              <w:pStyle w:val="Bulletlist2ndlevel-BSA-AML"/>
              <w:numPr>
                <w:ilvl w:val="0"/>
                <w:numId w:val="19"/>
              </w:numPr>
              <w:tabs>
                <w:tab w:val="left" w:pos="360"/>
              </w:tabs>
              <w:spacing w:after="140"/>
              <w:rPr>
                <w:sz w:val="22"/>
                <w:szCs w:val="22"/>
              </w:rPr>
            </w:pPr>
            <w:r w:rsidRPr="00EC6995">
              <w:rPr>
                <w:sz w:val="22"/>
                <w:szCs w:val="22"/>
              </w:rPr>
              <w:t xml:space="preserve">Obtained from each customer, before opening the account, the identifying information required by the CIP:  name, date of birth (for an individual), address, and identification number.  </w:t>
            </w:r>
          </w:p>
          <w:p w14:paraId="66EE64DE" w14:textId="77777777" w:rsidR="00A93677" w:rsidRPr="00EC6995" w:rsidRDefault="00A93677" w:rsidP="00A93677">
            <w:pPr>
              <w:pStyle w:val="Bulletlist2ndlevel-BSA-AML"/>
              <w:numPr>
                <w:ilvl w:val="0"/>
                <w:numId w:val="19"/>
              </w:numPr>
              <w:tabs>
                <w:tab w:val="left" w:pos="360"/>
              </w:tabs>
              <w:spacing w:after="140"/>
              <w:rPr>
                <w:sz w:val="22"/>
                <w:szCs w:val="22"/>
              </w:rPr>
            </w:pPr>
            <w:r w:rsidRPr="00EC6995">
              <w:rPr>
                <w:sz w:val="22"/>
                <w:szCs w:val="22"/>
              </w:rPr>
              <w:t xml:space="preserve">Verified the identity of the customer at account opening, or within a reasonable time after account opening, to the extent reasonable and practicable.  </w:t>
            </w:r>
          </w:p>
          <w:p w14:paraId="62A08897" w14:textId="77777777" w:rsidR="00A93677" w:rsidRPr="00EC6995" w:rsidRDefault="00A93677" w:rsidP="00A93677">
            <w:pPr>
              <w:pStyle w:val="Bulletlist2ndlevel-BSA-AML"/>
              <w:numPr>
                <w:ilvl w:val="0"/>
                <w:numId w:val="19"/>
              </w:numPr>
              <w:tabs>
                <w:tab w:val="left" w:pos="360"/>
              </w:tabs>
              <w:spacing w:after="140"/>
              <w:rPr>
                <w:sz w:val="22"/>
                <w:szCs w:val="22"/>
              </w:rPr>
            </w:pPr>
            <w:r w:rsidRPr="00EC6995">
              <w:rPr>
                <w:sz w:val="22"/>
                <w:szCs w:val="22"/>
              </w:rPr>
              <w:t xml:space="preserve">Appropriately resolved situations in which customer identity could not be reasonably verified and filed SARs, as appropriate.  </w:t>
            </w:r>
          </w:p>
          <w:p w14:paraId="43A4F0EE" w14:textId="77777777" w:rsidR="00A93677" w:rsidRPr="00EC6995" w:rsidRDefault="00A93677" w:rsidP="00A93677">
            <w:pPr>
              <w:pStyle w:val="Bulletlist2ndlevel-BSA-AML"/>
              <w:numPr>
                <w:ilvl w:val="0"/>
                <w:numId w:val="19"/>
              </w:numPr>
              <w:tabs>
                <w:tab w:val="left" w:pos="360"/>
              </w:tabs>
              <w:spacing w:after="140"/>
              <w:rPr>
                <w:sz w:val="22"/>
                <w:szCs w:val="22"/>
              </w:rPr>
            </w:pPr>
            <w:r w:rsidRPr="00EC6995">
              <w:rPr>
                <w:sz w:val="22"/>
                <w:szCs w:val="22"/>
              </w:rPr>
              <w:t xml:space="preserve">Made and maintained a record of the identifying information required by the CIP regulations; a description of any document that was relied upon to verify identity; the methods and results of any measures undertaken to verify identity using non-documentary methods or additional verification procedures; and verification results (including results of substantive discrepancies).  </w:t>
            </w:r>
          </w:p>
          <w:p w14:paraId="29BBBFC4" w14:textId="77777777" w:rsidR="00A93677" w:rsidRPr="00EC6995" w:rsidRDefault="00A93677" w:rsidP="00A93677">
            <w:pPr>
              <w:pStyle w:val="Bulletlist2ndlevel-BSA-AML"/>
              <w:numPr>
                <w:ilvl w:val="0"/>
                <w:numId w:val="19"/>
              </w:numPr>
              <w:tabs>
                <w:tab w:val="left" w:pos="360"/>
              </w:tabs>
              <w:spacing w:after="140"/>
              <w:rPr>
                <w:sz w:val="22"/>
                <w:szCs w:val="22"/>
              </w:rPr>
            </w:pPr>
            <w:r w:rsidRPr="00EC6995">
              <w:rPr>
                <w:sz w:val="22"/>
                <w:szCs w:val="22"/>
              </w:rPr>
              <w:t>Compared the customer’s name against any list of known or suspected terrorists or terrorist organizations, if applicable.</w:t>
            </w:r>
          </w:p>
        </w:tc>
        <w:tc>
          <w:tcPr>
            <w:tcW w:w="2446" w:type="pct"/>
            <w:shd w:val="clear" w:color="auto" w:fill="auto"/>
          </w:tcPr>
          <w:p w14:paraId="22B88BDC" w14:textId="77777777" w:rsidR="00A93677" w:rsidRPr="00EC6995" w:rsidRDefault="00A93677" w:rsidP="00A81956">
            <w:pPr>
              <w:rPr>
                <w:sz w:val="22"/>
                <w:szCs w:val="22"/>
              </w:rPr>
            </w:pPr>
          </w:p>
        </w:tc>
      </w:tr>
      <w:tr w:rsidR="00A93677" w:rsidRPr="00EC4C3D" w14:paraId="36FE68FA" w14:textId="77777777" w:rsidTr="00A93677">
        <w:tc>
          <w:tcPr>
            <w:tcW w:w="2554" w:type="pct"/>
            <w:shd w:val="clear" w:color="auto" w:fill="auto"/>
          </w:tcPr>
          <w:p w14:paraId="7BC6D820" w14:textId="77777777" w:rsidR="00A93677" w:rsidRPr="00EC6995" w:rsidRDefault="00A93677" w:rsidP="00A93677">
            <w:pPr>
              <w:pStyle w:val="NumberedBSA-AMLList"/>
              <w:numPr>
                <w:ilvl w:val="0"/>
                <w:numId w:val="23"/>
              </w:numPr>
              <w:ind w:left="360"/>
              <w:rPr>
                <w:sz w:val="22"/>
                <w:szCs w:val="22"/>
              </w:rPr>
            </w:pPr>
            <w:r w:rsidRPr="00EC6995">
              <w:rPr>
                <w:sz w:val="22"/>
                <w:szCs w:val="22"/>
              </w:rPr>
              <w:t xml:space="preserve">Review the adequacy of the bank’s customer notice and the timing of the notice’s delivery. </w:t>
            </w:r>
          </w:p>
        </w:tc>
        <w:tc>
          <w:tcPr>
            <w:tcW w:w="2446" w:type="pct"/>
            <w:shd w:val="clear" w:color="auto" w:fill="auto"/>
          </w:tcPr>
          <w:p w14:paraId="165E3405" w14:textId="77777777" w:rsidR="00A93677" w:rsidRPr="00EC6995" w:rsidRDefault="00A93677" w:rsidP="00A81956">
            <w:pPr>
              <w:rPr>
                <w:sz w:val="22"/>
                <w:szCs w:val="22"/>
              </w:rPr>
            </w:pPr>
          </w:p>
        </w:tc>
      </w:tr>
      <w:tr w:rsidR="00A93677" w:rsidRPr="00EC4C3D" w14:paraId="34B0E569" w14:textId="77777777" w:rsidTr="00A93677">
        <w:tc>
          <w:tcPr>
            <w:tcW w:w="2554" w:type="pct"/>
            <w:shd w:val="clear" w:color="auto" w:fill="auto"/>
          </w:tcPr>
          <w:p w14:paraId="590E0B65" w14:textId="77777777" w:rsidR="00A93677" w:rsidRPr="00EC6995" w:rsidRDefault="00A93677" w:rsidP="00A93677">
            <w:pPr>
              <w:pStyle w:val="NumberedBSA-AMLList"/>
              <w:numPr>
                <w:ilvl w:val="0"/>
                <w:numId w:val="23"/>
              </w:numPr>
              <w:ind w:left="360"/>
              <w:rPr>
                <w:sz w:val="22"/>
                <w:szCs w:val="22"/>
              </w:rPr>
            </w:pPr>
            <w:r w:rsidRPr="00EC6995">
              <w:rPr>
                <w:sz w:val="22"/>
                <w:szCs w:val="22"/>
              </w:rPr>
              <w:lastRenderedPageBreak/>
              <w:t>If the bank relies on other financial institutions to perform its CIP (or portions of its CIP), select a sample of new accounts opened under the reliance provision.</w:t>
            </w:r>
          </w:p>
          <w:p w14:paraId="0AD813F6" w14:textId="77777777" w:rsidR="00A93677" w:rsidRPr="00EC6995" w:rsidRDefault="00A93677" w:rsidP="00A93677">
            <w:pPr>
              <w:pStyle w:val="Body-BSA-AML"/>
              <w:numPr>
                <w:ilvl w:val="0"/>
                <w:numId w:val="22"/>
              </w:numPr>
              <w:tabs>
                <w:tab w:val="clear" w:pos="360"/>
              </w:tabs>
              <w:rPr>
                <w:sz w:val="22"/>
                <w:szCs w:val="22"/>
              </w:rPr>
            </w:pPr>
            <w:r w:rsidRPr="00EC6995">
              <w:rPr>
                <w:sz w:val="22"/>
                <w:szCs w:val="22"/>
              </w:rPr>
              <w:t xml:space="preserve">Determine whether the bank’s customer is opening or has opened an account </w:t>
            </w:r>
            <w:proofErr w:type="gramStart"/>
            <w:r w:rsidRPr="00EC6995">
              <w:rPr>
                <w:sz w:val="22"/>
                <w:szCs w:val="22"/>
              </w:rPr>
              <w:t>at, or</w:t>
            </w:r>
            <w:proofErr w:type="gramEnd"/>
            <w:r w:rsidRPr="00EC6995">
              <w:rPr>
                <w:sz w:val="22"/>
                <w:szCs w:val="22"/>
              </w:rPr>
              <w:t xml:space="preserve"> has established a similar formal banking or business relationship with, the other financial institution to provide or engage in services, dealings, or other financial transactions.  </w:t>
            </w:r>
          </w:p>
          <w:p w14:paraId="1E8277EC" w14:textId="77777777" w:rsidR="00A93677" w:rsidRPr="00EC6995" w:rsidRDefault="00A93677" w:rsidP="00A93677">
            <w:pPr>
              <w:pStyle w:val="Bulletlist2ndlevel-BSA-AML"/>
              <w:numPr>
                <w:ilvl w:val="0"/>
                <w:numId w:val="20"/>
              </w:numPr>
              <w:tabs>
                <w:tab w:val="left" w:pos="360"/>
              </w:tabs>
              <w:spacing w:after="140"/>
              <w:rPr>
                <w:sz w:val="22"/>
                <w:szCs w:val="22"/>
              </w:rPr>
            </w:pPr>
            <w:r w:rsidRPr="00EC6995">
              <w:rPr>
                <w:sz w:val="22"/>
                <w:szCs w:val="22"/>
              </w:rPr>
              <w:t xml:space="preserve">Determine whether the other financial institution is subject to a final rule implementing the AML program requirements of 31 USC 5318(h) and is regulated by a federal functional regulator.  </w:t>
            </w:r>
          </w:p>
          <w:p w14:paraId="0E3F4B04" w14:textId="77777777" w:rsidR="00A93677" w:rsidRPr="00EC6995" w:rsidRDefault="00A93677" w:rsidP="00A93677">
            <w:pPr>
              <w:pStyle w:val="Bulletlist2ndlevel-BSA-AML"/>
              <w:numPr>
                <w:ilvl w:val="0"/>
                <w:numId w:val="20"/>
              </w:numPr>
              <w:tabs>
                <w:tab w:val="left" w:pos="360"/>
              </w:tabs>
              <w:spacing w:after="140"/>
              <w:rPr>
                <w:sz w:val="22"/>
                <w:szCs w:val="22"/>
              </w:rPr>
            </w:pPr>
            <w:r w:rsidRPr="00EC6995">
              <w:rPr>
                <w:sz w:val="22"/>
                <w:szCs w:val="22"/>
              </w:rPr>
              <w:t xml:space="preserve">Review the contract between the parties, annual certifications, and other information, such as the other financial institution’s CIP.  </w:t>
            </w:r>
          </w:p>
          <w:p w14:paraId="2D2D875C" w14:textId="77777777" w:rsidR="00A93677" w:rsidRPr="00EC6995" w:rsidRDefault="00A93677" w:rsidP="00A93677">
            <w:pPr>
              <w:pStyle w:val="Bulletlist2ndlevel-BSA-AML"/>
              <w:numPr>
                <w:ilvl w:val="0"/>
                <w:numId w:val="20"/>
              </w:numPr>
              <w:tabs>
                <w:tab w:val="left" w:pos="360"/>
              </w:tabs>
              <w:spacing w:after="140"/>
              <w:rPr>
                <w:sz w:val="22"/>
                <w:szCs w:val="22"/>
              </w:rPr>
            </w:pPr>
            <w:r w:rsidRPr="00EC6995">
              <w:rPr>
                <w:sz w:val="22"/>
                <w:szCs w:val="22"/>
              </w:rPr>
              <w:t>Determine whether reliance is reasonable.  The contract and certification provide a standard means for a bank to demonstrate that it has satisfied the “reliance provision,” unless the examiner has reason to believe that the bank’s reliance is not reasonable (e.g., the other financial institution has been subject to an enforcement action for AML or BSA deficiencies or violations).</w:t>
            </w:r>
          </w:p>
        </w:tc>
        <w:tc>
          <w:tcPr>
            <w:tcW w:w="2446" w:type="pct"/>
            <w:shd w:val="clear" w:color="auto" w:fill="auto"/>
          </w:tcPr>
          <w:p w14:paraId="46AEA306" w14:textId="77777777" w:rsidR="00A93677" w:rsidRPr="00EC6995" w:rsidRDefault="00A93677" w:rsidP="00A81956">
            <w:pPr>
              <w:rPr>
                <w:sz w:val="22"/>
                <w:szCs w:val="22"/>
              </w:rPr>
            </w:pPr>
          </w:p>
        </w:tc>
      </w:tr>
      <w:tr w:rsidR="00A93677" w:rsidRPr="00EC4C3D" w14:paraId="6CAF570C" w14:textId="77777777" w:rsidTr="00A93677">
        <w:tc>
          <w:tcPr>
            <w:tcW w:w="2554" w:type="pct"/>
            <w:shd w:val="clear" w:color="auto" w:fill="auto"/>
          </w:tcPr>
          <w:p w14:paraId="015DCAE2" w14:textId="77777777" w:rsidR="00A93677" w:rsidRPr="00EC6995" w:rsidRDefault="00A93677" w:rsidP="00A93677">
            <w:pPr>
              <w:pStyle w:val="NumberedBSA-AMLList"/>
              <w:numPr>
                <w:ilvl w:val="0"/>
                <w:numId w:val="23"/>
              </w:numPr>
              <w:ind w:left="360"/>
              <w:rPr>
                <w:sz w:val="22"/>
                <w:szCs w:val="22"/>
              </w:rPr>
            </w:pPr>
            <w:r w:rsidRPr="00EC6995">
              <w:rPr>
                <w:sz w:val="22"/>
                <w:szCs w:val="22"/>
              </w:rPr>
              <w:t>Review the internal controls in place for CIP.  Determine whether the bank’s internal controls are designed to assure ongoing compliance with CIP requirements and are commensurate with the bank’s size or complexity and organizational structure.</w:t>
            </w:r>
          </w:p>
        </w:tc>
        <w:tc>
          <w:tcPr>
            <w:tcW w:w="2446" w:type="pct"/>
            <w:shd w:val="clear" w:color="auto" w:fill="auto"/>
          </w:tcPr>
          <w:p w14:paraId="063CFC7F" w14:textId="77777777" w:rsidR="00A93677" w:rsidRPr="00EC6995" w:rsidRDefault="00A93677" w:rsidP="00A81956">
            <w:pPr>
              <w:rPr>
                <w:sz w:val="22"/>
                <w:szCs w:val="22"/>
              </w:rPr>
            </w:pPr>
          </w:p>
        </w:tc>
      </w:tr>
      <w:tr w:rsidR="00A93677" w:rsidRPr="00EC4C3D" w14:paraId="07B0D100" w14:textId="77777777" w:rsidTr="00A93677">
        <w:tc>
          <w:tcPr>
            <w:tcW w:w="2554" w:type="pct"/>
            <w:shd w:val="clear" w:color="auto" w:fill="auto"/>
          </w:tcPr>
          <w:p w14:paraId="1DAB5491" w14:textId="77777777" w:rsidR="00A93677" w:rsidRPr="00EC6995" w:rsidRDefault="00A93677" w:rsidP="00A93677">
            <w:pPr>
              <w:pStyle w:val="NumberedBSA-AMLList"/>
              <w:numPr>
                <w:ilvl w:val="0"/>
                <w:numId w:val="23"/>
              </w:numPr>
              <w:ind w:left="360"/>
              <w:rPr>
                <w:sz w:val="22"/>
                <w:szCs w:val="22"/>
              </w:rPr>
            </w:pPr>
            <w:r w:rsidRPr="00EC6995">
              <w:rPr>
                <w:sz w:val="22"/>
                <w:szCs w:val="22"/>
              </w:rPr>
              <w:t>Review any identified instances of noncompliance with the CIP rule and any deviations from the bank’s CIP policies, procedures, and processes to determine whether the bank is effectively implementing its CIP.  In making this determination, examiners should keep in mind that the bank may have limited instances of noncompliance with the CIP rule (such as isolated or technical violations) or minor deviations from the bank’s CIP policies, procedures, and processes without resulting in an inadequate CIP.</w:t>
            </w:r>
          </w:p>
        </w:tc>
        <w:tc>
          <w:tcPr>
            <w:tcW w:w="2446" w:type="pct"/>
            <w:shd w:val="clear" w:color="auto" w:fill="auto"/>
          </w:tcPr>
          <w:p w14:paraId="50D7F3CD" w14:textId="77777777" w:rsidR="00A93677" w:rsidRPr="00EC6995" w:rsidRDefault="00A93677" w:rsidP="00A81956">
            <w:pPr>
              <w:rPr>
                <w:sz w:val="22"/>
                <w:szCs w:val="22"/>
              </w:rPr>
            </w:pPr>
          </w:p>
        </w:tc>
      </w:tr>
      <w:tr w:rsidR="00A93677" w:rsidRPr="00EC4C3D" w14:paraId="154133A9" w14:textId="77777777" w:rsidTr="00A93677">
        <w:tc>
          <w:tcPr>
            <w:tcW w:w="2554" w:type="pct"/>
            <w:shd w:val="clear" w:color="auto" w:fill="auto"/>
          </w:tcPr>
          <w:p w14:paraId="254E9217" w14:textId="77777777" w:rsidR="00A93677" w:rsidRPr="00EC6995" w:rsidRDefault="00A93677" w:rsidP="00A93677">
            <w:pPr>
              <w:pStyle w:val="NumberedBSA-AMLList"/>
              <w:numPr>
                <w:ilvl w:val="0"/>
                <w:numId w:val="23"/>
              </w:numPr>
              <w:ind w:left="360"/>
              <w:rPr>
                <w:sz w:val="22"/>
                <w:szCs w:val="22"/>
              </w:rPr>
            </w:pPr>
            <w:proofErr w:type="gramStart"/>
            <w:r w:rsidRPr="00EC6995">
              <w:rPr>
                <w:sz w:val="22"/>
                <w:szCs w:val="22"/>
              </w:rPr>
              <w:t>On the basis of</w:t>
            </w:r>
            <w:proofErr w:type="gramEnd"/>
            <w:r w:rsidRPr="00EC6995">
              <w:rPr>
                <w:sz w:val="22"/>
                <w:szCs w:val="22"/>
              </w:rPr>
              <w:t xml:space="preserve"> examination and testing procedures completed, form a conclusion about the adequacy of policies, procedures, and processes the bank has developed to meet BSA regulatory requirements associated with CIP.</w:t>
            </w:r>
          </w:p>
        </w:tc>
        <w:tc>
          <w:tcPr>
            <w:tcW w:w="2446" w:type="pct"/>
            <w:shd w:val="clear" w:color="auto" w:fill="auto"/>
          </w:tcPr>
          <w:p w14:paraId="524752D2" w14:textId="77777777" w:rsidR="00A93677" w:rsidRPr="00EC6995" w:rsidRDefault="00A93677" w:rsidP="00A81956">
            <w:pPr>
              <w:rPr>
                <w:sz w:val="22"/>
                <w:szCs w:val="22"/>
              </w:rPr>
            </w:pPr>
          </w:p>
        </w:tc>
      </w:tr>
    </w:tbl>
    <w:p w14:paraId="39A1F16E" w14:textId="77777777" w:rsidR="008218DF" w:rsidRPr="00214C57" w:rsidRDefault="008218DF" w:rsidP="00214C57"/>
    <w:sectPr w:rsidR="008218DF" w:rsidRPr="00214C57" w:rsidSect="00C73169">
      <w:headerReference w:type="even" r:id="rId8"/>
      <w:headerReference w:type="default" r:id="rId9"/>
      <w:footerReference w:type="even" r:id="rId10"/>
      <w:footerReference w:type="default" r:id="rId11"/>
      <w:headerReference w:type="first" r:id="rId12"/>
      <w:footerReference w:type="first" r:id="rId13"/>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2C07F" w14:textId="77777777" w:rsidR="00280475" w:rsidRDefault="00280475" w:rsidP="001C597F">
      <w:r>
        <w:separator/>
      </w:r>
    </w:p>
  </w:endnote>
  <w:endnote w:type="continuationSeparator" w:id="0">
    <w:p w14:paraId="1490E38E" w14:textId="77777777" w:rsidR="00280475" w:rsidRDefault="00280475"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11ACE4" w14:textId="77777777" w:rsidR="001C597F" w:rsidRDefault="001C597F" w:rsidP="001C59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60AE9" w14:textId="77777777" w:rsidR="00644539" w:rsidRDefault="00644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25DFE" w14:textId="77777777" w:rsidR="00280475" w:rsidRDefault="00280475" w:rsidP="001C597F">
      <w:r>
        <w:separator/>
      </w:r>
    </w:p>
  </w:footnote>
  <w:footnote w:type="continuationSeparator" w:id="0">
    <w:p w14:paraId="72AB08CC" w14:textId="77777777" w:rsidR="00280475" w:rsidRDefault="00280475"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1C9F" w14:textId="77777777" w:rsidR="00644539" w:rsidRDefault="00644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D958137" w14:textId="77777777" w:rsidR="001C597F" w:rsidRDefault="001C5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2BDD6" w14:textId="77777777" w:rsidR="00644539" w:rsidRDefault="00644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4BBC"/>
    <w:multiLevelType w:val="hybridMultilevel"/>
    <w:tmpl w:val="5F64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8530368"/>
    <w:multiLevelType w:val="hybridMultilevel"/>
    <w:tmpl w:val="8D34B070"/>
    <w:lvl w:ilvl="0" w:tplc="42CE6AB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E3F32"/>
    <w:multiLevelType w:val="hybridMultilevel"/>
    <w:tmpl w:val="3DB8495E"/>
    <w:lvl w:ilvl="0" w:tplc="BC0A5B6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F74DF"/>
    <w:multiLevelType w:val="hybridMultilevel"/>
    <w:tmpl w:val="DC320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42409E"/>
    <w:multiLevelType w:val="hybridMultilevel"/>
    <w:tmpl w:val="40A8D1BC"/>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13E12"/>
    <w:multiLevelType w:val="hybridMultilevel"/>
    <w:tmpl w:val="137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60214"/>
    <w:multiLevelType w:val="hybridMultilevel"/>
    <w:tmpl w:val="BE148E44"/>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D414D"/>
    <w:multiLevelType w:val="hybridMultilevel"/>
    <w:tmpl w:val="BD10A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8256FD"/>
    <w:multiLevelType w:val="hybridMultilevel"/>
    <w:tmpl w:val="97345426"/>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8951CC"/>
    <w:multiLevelType w:val="hybridMultilevel"/>
    <w:tmpl w:val="94D0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D495F"/>
    <w:multiLevelType w:val="hybridMultilevel"/>
    <w:tmpl w:val="888AB61A"/>
    <w:lvl w:ilvl="0" w:tplc="B4188A8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804A2E"/>
    <w:multiLevelType w:val="hybridMultilevel"/>
    <w:tmpl w:val="FDD43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296B54"/>
    <w:multiLevelType w:val="hybridMultilevel"/>
    <w:tmpl w:val="A9580FD2"/>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E7060"/>
    <w:multiLevelType w:val="hybridMultilevel"/>
    <w:tmpl w:val="E2D6EB8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5F8B3351"/>
    <w:multiLevelType w:val="hybridMultilevel"/>
    <w:tmpl w:val="EA70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C07E6"/>
    <w:multiLevelType w:val="hybridMultilevel"/>
    <w:tmpl w:val="649404E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A2B62"/>
    <w:multiLevelType w:val="hybridMultilevel"/>
    <w:tmpl w:val="7702EEEE"/>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E5A9F"/>
    <w:multiLevelType w:val="hybridMultilevel"/>
    <w:tmpl w:val="7D42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47B47"/>
    <w:multiLevelType w:val="hybridMultilevel"/>
    <w:tmpl w:val="EB30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4650C7"/>
    <w:multiLevelType w:val="hybridMultilevel"/>
    <w:tmpl w:val="3B2A1B76"/>
    <w:lvl w:ilvl="0" w:tplc="C7EEAFCE">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75364"/>
    <w:multiLevelType w:val="hybridMultilevel"/>
    <w:tmpl w:val="BED8E398"/>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7"/>
  </w:num>
  <w:num w:numId="4">
    <w:abstractNumId w:val="22"/>
  </w:num>
  <w:num w:numId="5">
    <w:abstractNumId w:val="18"/>
  </w:num>
  <w:num w:numId="6">
    <w:abstractNumId w:val="12"/>
  </w:num>
  <w:num w:numId="7">
    <w:abstractNumId w:val="2"/>
  </w:num>
  <w:num w:numId="8">
    <w:abstractNumId w:val="1"/>
  </w:num>
  <w:num w:numId="9">
    <w:abstractNumId w:val="6"/>
  </w:num>
  <w:num w:numId="10">
    <w:abstractNumId w:val="15"/>
  </w:num>
  <w:num w:numId="11">
    <w:abstractNumId w:val="17"/>
  </w:num>
  <w:num w:numId="12">
    <w:abstractNumId w:val="14"/>
  </w:num>
  <w:num w:numId="13">
    <w:abstractNumId w:val="4"/>
  </w:num>
  <w:num w:numId="14">
    <w:abstractNumId w:val="21"/>
  </w:num>
  <w:num w:numId="15">
    <w:abstractNumId w:val="9"/>
  </w:num>
  <w:num w:numId="16">
    <w:abstractNumId w:val="20"/>
  </w:num>
  <w:num w:numId="17">
    <w:abstractNumId w:val="0"/>
  </w:num>
  <w:num w:numId="18">
    <w:abstractNumId w:val="13"/>
  </w:num>
  <w:num w:numId="19">
    <w:abstractNumId w:val="3"/>
  </w:num>
  <w:num w:numId="20">
    <w:abstractNumId w:val="8"/>
  </w:num>
  <w:num w:numId="21">
    <w:abstractNumId w:val="16"/>
  </w:num>
  <w:num w:numId="22">
    <w:abstractNumId w:val="19"/>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B6182"/>
    <w:rsid w:val="00153D87"/>
    <w:rsid w:val="001C597F"/>
    <w:rsid w:val="00214C57"/>
    <w:rsid w:val="002456DC"/>
    <w:rsid w:val="00280475"/>
    <w:rsid w:val="002C7896"/>
    <w:rsid w:val="00381955"/>
    <w:rsid w:val="00545344"/>
    <w:rsid w:val="00551E98"/>
    <w:rsid w:val="005A483D"/>
    <w:rsid w:val="00644539"/>
    <w:rsid w:val="0066634D"/>
    <w:rsid w:val="00693331"/>
    <w:rsid w:val="006938EE"/>
    <w:rsid w:val="00711436"/>
    <w:rsid w:val="0074091F"/>
    <w:rsid w:val="008218DF"/>
    <w:rsid w:val="0082386F"/>
    <w:rsid w:val="00827065"/>
    <w:rsid w:val="008C1A62"/>
    <w:rsid w:val="008D1B70"/>
    <w:rsid w:val="00942A1C"/>
    <w:rsid w:val="00A13081"/>
    <w:rsid w:val="00A33330"/>
    <w:rsid w:val="00A37C93"/>
    <w:rsid w:val="00A93677"/>
    <w:rsid w:val="00A9534A"/>
    <w:rsid w:val="00AB7A7D"/>
    <w:rsid w:val="00AC3068"/>
    <w:rsid w:val="00B0373F"/>
    <w:rsid w:val="00B57732"/>
    <w:rsid w:val="00BD16CB"/>
    <w:rsid w:val="00C40DD6"/>
    <w:rsid w:val="00C73169"/>
    <w:rsid w:val="00C7598C"/>
    <w:rsid w:val="00CC10D0"/>
    <w:rsid w:val="00CE1F59"/>
    <w:rsid w:val="00CF0853"/>
    <w:rsid w:val="00CF7AF0"/>
    <w:rsid w:val="00D8007E"/>
    <w:rsid w:val="00D95CB7"/>
    <w:rsid w:val="00DA7E7B"/>
    <w:rsid w:val="00EC37F2"/>
    <w:rsid w:val="00F338D1"/>
    <w:rsid w:val="00F410AB"/>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936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Footnote Reference BSA-AML Manual"/>
    <w:basedOn w:val="DefaultParagraphFont"/>
    <w:uiPriority w:val="99"/>
    <w:qFormat/>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8218DF"/>
  </w:style>
  <w:style w:type="character" w:customStyle="1" w:styleId="FootnoteTextChar">
    <w:name w:val="Footnote Text Char"/>
    <w:basedOn w:val="DefaultParagraphFont"/>
    <w:link w:val="FootnoteText"/>
    <w:uiPriority w:val="99"/>
    <w:semiHidden/>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character" w:customStyle="1" w:styleId="Heading1Char">
    <w:name w:val="Heading 1 Char"/>
    <w:basedOn w:val="DefaultParagraphFont"/>
    <w:link w:val="Heading1"/>
    <w:uiPriority w:val="9"/>
    <w:rsid w:val="00A9367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4F17-10C4-614E-8A11-DCDD0B42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5062</Characters>
  <Application>Microsoft Office Word</Application>
  <DocSecurity>0</DocSecurity>
  <Lines>42</Lines>
  <Paragraphs>11</Paragraphs>
  <ScaleCrop>false</ScaleCrop>
  <Company>CPS</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2021-02-21T15:19:00Z</dcterms:created>
  <dcterms:modified xsi:type="dcterms:W3CDTF">2021-02-21T15:19:00Z</dcterms:modified>
</cp:coreProperties>
</file>