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B33A" w14:textId="77777777" w:rsidR="00C7598C" w:rsidRDefault="00C7598C" w:rsidP="00C7598C">
      <w:pPr>
        <w:pStyle w:val="Head3-BSA-AML"/>
      </w:pPr>
      <w:bookmarkStart w:id="0" w:name="_Toc135558550"/>
      <w:r w:rsidRPr="00184194">
        <w:rPr>
          <w:sz w:val="36"/>
          <w:szCs w:val="36"/>
        </w:rPr>
        <w:t>Examination Procedures</w:t>
      </w:r>
    </w:p>
    <w:p w14:paraId="72AD9222" w14:textId="77777777" w:rsidR="00C7598C" w:rsidRDefault="00C7598C" w:rsidP="00C7598C">
      <w:pPr>
        <w:pStyle w:val="Head4-BSA-AML"/>
        <w:jc w:val="center"/>
      </w:pPr>
      <w:r>
        <w:t>Customer Due Diligence</w:t>
      </w:r>
      <w:bookmarkEnd w:id="0"/>
    </w:p>
    <w:p w14:paraId="07CC1465" w14:textId="45442EFB" w:rsidR="00C7598C" w:rsidRPr="00720E5C" w:rsidRDefault="00AA0A26" w:rsidP="00C7598C">
      <w:pPr>
        <w:pStyle w:val="Body-BSA-AML"/>
      </w:pPr>
      <w:r w:rsidRPr="00B463A1">
        <w:rPr>
          <w:b/>
          <w:bCs/>
          <w:spacing w:val="-1"/>
          <w:szCs w:val="24"/>
        </w:rPr>
        <w:t>Objective.</w:t>
      </w:r>
      <w:r w:rsidRPr="00B463A1">
        <w:rPr>
          <w:b/>
          <w:bCs/>
          <w:szCs w:val="24"/>
        </w:rPr>
        <w:t xml:space="preserve">  </w:t>
      </w:r>
      <w:r w:rsidRPr="00B463A1">
        <w:rPr>
          <w:i/>
          <w:spacing w:val="-1"/>
          <w:szCs w:val="24"/>
        </w:rPr>
        <w:t>Assess</w:t>
      </w:r>
      <w:r w:rsidRPr="00B463A1">
        <w:rPr>
          <w:i/>
          <w:szCs w:val="24"/>
        </w:rPr>
        <w:t xml:space="preserve"> the</w:t>
      </w:r>
      <w:r w:rsidRPr="00B463A1">
        <w:rPr>
          <w:i/>
          <w:spacing w:val="-1"/>
          <w:szCs w:val="24"/>
        </w:rPr>
        <w:t xml:space="preserve"> </w:t>
      </w:r>
      <w:r>
        <w:rPr>
          <w:i/>
          <w:spacing w:val="-1"/>
          <w:szCs w:val="24"/>
        </w:rPr>
        <w:t xml:space="preserve">bank’s compliance with the regulatory requirements for </w:t>
      </w:r>
      <w:r w:rsidRPr="00B463A1">
        <w:rPr>
          <w:i/>
          <w:spacing w:val="-1"/>
          <w:szCs w:val="24"/>
        </w:rPr>
        <w:t>customer</w:t>
      </w:r>
      <w:r w:rsidRPr="00B463A1">
        <w:rPr>
          <w:i/>
          <w:szCs w:val="24"/>
        </w:rPr>
        <w:t xml:space="preserve"> due</w:t>
      </w:r>
      <w:r w:rsidRPr="00B463A1">
        <w:rPr>
          <w:i/>
          <w:spacing w:val="57"/>
          <w:szCs w:val="24"/>
        </w:rPr>
        <w:t xml:space="preserve"> </w:t>
      </w:r>
      <w:r w:rsidRPr="00B463A1">
        <w:rPr>
          <w:i/>
          <w:spacing w:val="-1"/>
          <w:szCs w:val="24"/>
        </w:rPr>
        <w:t>diligence</w:t>
      </w:r>
      <w:r w:rsidRPr="00B463A1">
        <w:rPr>
          <w:i/>
          <w:spacing w:val="1"/>
          <w:szCs w:val="24"/>
        </w:rPr>
        <w:t xml:space="preserve"> </w:t>
      </w:r>
      <w:r w:rsidRPr="00B463A1">
        <w:rPr>
          <w:i/>
          <w:spacing w:val="-1"/>
          <w:szCs w:val="24"/>
        </w:rPr>
        <w:t>(CDD)</w:t>
      </w:r>
      <w:r w:rsidRPr="00510AA4">
        <w:rPr>
          <w:i/>
          <w:szCs w:val="24"/>
        </w:rPr>
        <w:t>.</w:t>
      </w:r>
    </w:p>
    <w:p w14:paraId="3B372BDA" w14:textId="77777777" w:rsidR="00C7598C" w:rsidRDefault="00C7598C" w:rsidP="00C75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5387"/>
      </w:tblGrid>
      <w:tr w:rsidR="00C7598C" w:rsidRPr="00EC4C3D" w14:paraId="2A7D464B" w14:textId="77777777" w:rsidTr="00FD77C2">
        <w:trPr>
          <w:tblHeader/>
        </w:trPr>
        <w:tc>
          <w:tcPr>
            <w:tcW w:w="5508" w:type="dxa"/>
            <w:tcBorders>
              <w:bottom w:val="single" w:sz="4" w:space="0" w:color="auto"/>
            </w:tcBorders>
            <w:shd w:val="clear" w:color="auto" w:fill="E0E0E0"/>
          </w:tcPr>
          <w:p w14:paraId="4E9A16C5" w14:textId="77777777" w:rsidR="00C7598C" w:rsidRPr="00EC4C3D" w:rsidRDefault="00C7598C"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086875D6" w14:textId="77777777" w:rsidR="00C7598C" w:rsidRPr="00EC4C3D" w:rsidRDefault="00C7598C" w:rsidP="00FD77C2">
            <w:pPr>
              <w:rPr>
                <w:b/>
                <w:sz w:val="28"/>
                <w:szCs w:val="28"/>
              </w:rPr>
            </w:pPr>
            <w:r w:rsidRPr="00EC4C3D">
              <w:rPr>
                <w:b/>
                <w:sz w:val="28"/>
                <w:szCs w:val="28"/>
              </w:rPr>
              <w:t>Comments</w:t>
            </w:r>
          </w:p>
        </w:tc>
      </w:tr>
      <w:tr w:rsidR="00C7598C" w:rsidRPr="00EC4C3D" w14:paraId="0CEFAAE6" w14:textId="77777777" w:rsidTr="00FD77C2">
        <w:tc>
          <w:tcPr>
            <w:tcW w:w="5508" w:type="dxa"/>
            <w:shd w:val="clear" w:color="auto" w:fill="auto"/>
          </w:tcPr>
          <w:p w14:paraId="474185F7" w14:textId="77777777" w:rsidR="00C7598C" w:rsidRDefault="00AA0A26" w:rsidP="006773F5">
            <w:pPr>
              <w:numPr>
                <w:ilvl w:val="0"/>
                <w:numId w:val="38"/>
              </w:numPr>
              <w:tabs>
                <w:tab w:val="left" w:pos="360"/>
              </w:tabs>
              <w:rPr>
                <w:sz w:val="22"/>
                <w:szCs w:val="22"/>
              </w:rPr>
            </w:pPr>
            <w:r w:rsidRPr="00AA0A26">
              <w:rPr>
                <w:sz w:val="22"/>
                <w:szCs w:val="22"/>
              </w:rPr>
              <w:t>Determine whether the bank has developed and implemented appropriate written risk-based procedures for conducting ongoing CDD and that they:</w:t>
            </w:r>
          </w:p>
          <w:p w14:paraId="60ABBFDA" w14:textId="77777777" w:rsidR="006773F5" w:rsidRPr="006773F5" w:rsidRDefault="006773F5" w:rsidP="006773F5">
            <w:pPr>
              <w:pStyle w:val="ListParagraph"/>
              <w:numPr>
                <w:ilvl w:val="0"/>
                <w:numId w:val="45"/>
              </w:numPr>
              <w:tabs>
                <w:tab w:val="left" w:pos="360"/>
              </w:tabs>
              <w:rPr>
                <w:sz w:val="22"/>
                <w:szCs w:val="22"/>
              </w:rPr>
            </w:pPr>
            <w:r w:rsidRPr="006773F5">
              <w:rPr>
                <w:sz w:val="22"/>
                <w:szCs w:val="22"/>
              </w:rPr>
              <w:t>Enable the bank to understand the nature and purpose of the customer relationship in order to develop a customer risk profile.</w:t>
            </w:r>
          </w:p>
          <w:p w14:paraId="37EBF0F4" w14:textId="77777777" w:rsidR="006773F5" w:rsidRPr="006773F5" w:rsidRDefault="006773F5" w:rsidP="006773F5">
            <w:pPr>
              <w:pStyle w:val="ListParagraph"/>
              <w:numPr>
                <w:ilvl w:val="0"/>
                <w:numId w:val="45"/>
              </w:numPr>
              <w:tabs>
                <w:tab w:val="left" w:pos="360"/>
              </w:tabs>
              <w:rPr>
                <w:sz w:val="22"/>
                <w:szCs w:val="22"/>
              </w:rPr>
            </w:pPr>
            <w:r w:rsidRPr="006773F5">
              <w:rPr>
                <w:sz w:val="22"/>
                <w:szCs w:val="22"/>
              </w:rPr>
              <w:t>Enable the bank to conduct ongoing monitoring</w:t>
            </w:r>
          </w:p>
          <w:p w14:paraId="7187838D" w14:textId="77777777" w:rsidR="006773F5" w:rsidRPr="006773F5" w:rsidRDefault="006773F5" w:rsidP="006773F5">
            <w:pPr>
              <w:pStyle w:val="ListParagraph"/>
              <w:numPr>
                <w:ilvl w:val="0"/>
                <w:numId w:val="45"/>
              </w:numPr>
              <w:tabs>
                <w:tab w:val="left" w:pos="360"/>
              </w:tabs>
              <w:rPr>
                <w:sz w:val="22"/>
                <w:szCs w:val="22"/>
              </w:rPr>
            </w:pPr>
            <w:r w:rsidRPr="006773F5">
              <w:rPr>
                <w:sz w:val="22"/>
                <w:szCs w:val="22"/>
              </w:rPr>
              <w:t xml:space="preserve">for the purpose of identifying and reporting suspicious transactions and, </w:t>
            </w:r>
          </w:p>
          <w:p w14:paraId="76CE99ED" w14:textId="77777777" w:rsidR="006773F5" w:rsidRPr="006773F5" w:rsidRDefault="006773F5" w:rsidP="006773F5">
            <w:pPr>
              <w:pStyle w:val="ListParagraph"/>
              <w:numPr>
                <w:ilvl w:val="0"/>
                <w:numId w:val="45"/>
              </w:numPr>
              <w:tabs>
                <w:tab w:val="left" w:pos="360"/>
              </w:tabs>
              <w:rPr>
                <w:sz w:val="22"/>
                <w:szCs w:val="22"/>
              </w:rPr>
            </w:pPr>
            <w:r w:rsidRPr="006773F5">
              <w:rPr>
                <w:sz w:val="22"/>
                <w:szCs w:val="22"/>
              </w:rPr>
              <w:t>on a risk basis, to maintain and update customer information, including information regarding the beneficial owner(s) of legal entity customers.</w:t>
            </w:r>
          </w:p>
          <w:p w14:paraId="22FE83E3" w14:textId="6EF413E7" w:rsidR="006773F5" w:rsidRPr="006773F5" w:rsidRDefault="006773F5" w:rsidP="006773F5">
            <w:pPr>
              <w:pStyle w:val="ListParagraph"/>
              <w:numPr>
                <w:ilvl w:val="0"/>
                <w:numId w:val="45"/>
              </w:numPr>
              <w:tabs>
                <w:tab w:val="left" w:pos="360"/>
              </w:tabs>
              <w:rPr>
                <w:sz w:val="22"/>
                <w:szCs w:val="22"/>
              </w:rPr>
            </w:pPr>
            <w:r w:rsidRPr="006773F5">
              <w:rPr>
                <w:sz w:val="22"/>
                <w:szCs w:val="22"/>
              </w:rPr>
              <w:t>Enable the bank to use customer information and the customer risk profile to understand the types of transactions a particular customer would be expected to engage in and as a baseline against which suspicious transactions are identified.</w:t>
            </w:r>
            <w:bookmarkStart w:id="1" w:name="_GoBack"/>
            <w:bookmarkEnd w:id="1"/>
          </w:p>
        </w:tc>
        <w:tc>
          <w:tcPr>
            <w:tcW w:w="5508" w:type="dxa"/>
            <w:shd w:val="clear" w:color="auto" w:fill="auto"/>
          </w:tcPr>
          <w:p w14:paraId="191670BC" w14:textId="77777777" w:rsidR="00C7598C" w:rsidRPr="00EC4C3D" w:rsidRDefault="00C7598C" w:rsidP="00FD77C2">
            <w:pPr>
              <w:rPr>
                <w:sz w:val="22"/>
                <w:szCs w:val="22"/>
              </w:rPr>
            </w:pPr>
          </w:p>
        </w:tc>
      </w:tr>
      <w:tr w:rsidR="00C7598C" w:rsidRPr="00EC4C3D" w14:paraId="314923DF" w14:textId="77777777" w:rsidTr="00FD77C2">
        <w:tc>
          <w:tcPr>
            <w:tcW w:w="5508" w:type="dxa"/>
            <w:shd w:val="clear" w:color="auto" w:fill="auto"/>
          </w:tcPr>
          <w:p w14:paraId="617C01C9" w14:textId="420425DA" w:rsidR="00C7598C" w:rsidRPr="00AA0A26" w:rsidRDefault="00AA0A26" w:rsidP="00AA0A26">
            <w:pPr>
              <w:numPr>
                <w:ilvl w:val="0"/>
                <w:numId w:val="38"/>
              </w:numPr>
              <w:tabs>
                <w:tab w:val="left" w:pos="360"/>
              </w:tabs>
              <w:rPr>
                <w:sz w:val="22"/>
                <w:szCs w:val="22"/>
              </w:rPr>
            </w:pPr>
            <w:r w:rsidRPr="00AA0A26">
              <w:rPr>
                <w:sz w:val="22"/>
                <w:szCs w:val="22"/>
              </w:rPr>
              <w:t xml:space="preserve">Determine whether the bank, as part of the overall CDD program, has effective processes to develop customer risk profiles that identify the specific risks of individual customers or categories of customers. </w:t>
            </w:r>
          </w:p>
        </w:tc>
        <w:tc>
          <w:tcPr>
            <w:tcW w:w="5508" w:type="dxa"/>
            <w:shd w:val="clear" w:color="auto" w:fill="auto"/>
          </w:tcPr>
          <w:p w14:paraId="6D5D59C1" w14:textId="77777777" w:rsidR="00C7598C" w:rsidRPr="00EC4C3D" w:rsidRDefault="00C7598C" w:rsidP="00FD77C2">
            <w:pPr>
              <w:rPr>
                <w:sz w:val="22"/>
                <w:szCs w:val="22"/>
              </w:rPr>
            </w:pPr>
          </w:p>
        </w:tc>
      </w:tr>
      <w:tr w:rsidR="00C7598C" w:rsidRPr="00EC4C3D" w14:paraId="75CB7E46" w14:textId="77777777" w:rsidTr="00FD77C2">
        <w:tc>
          <w:tcPr>
            <w:tcW w:w="5508" w:type="dxa"/>
            <w:shd w:val="clear" w:color="auto" w:fill="auto"/>
          </w:tcPr>
          <w:p w14:paraId="5DF1E512" w14:textId="1C2F1C39" w:rsidR="00C7598C" w:rsidRPr="00AA0A26" w:rsidRDefault="00AA0A26" w:rsidP="00AA0A26">
            <w:pPr>
              <w:numPr>
                <w:ilvl w:val="0"/>
                <w:numId w:val="38"/>
              </w:numPr>
              <w:tabs>
                <w:tab w:val="left" w:pos="360"/>
              </w:tabs>
              <w:rPr>
                <w:sz w:val="22"/>
                <w:szCs w:val="22"/>
              </w:rPr>
            </w:pPr>
            <w:r w:rsidRPr="00AA0A26">
              <w:rPr>
                <w:sz w:val="22"/>
                <w:szCs w:val="22"/>
              </w:rPr>
              <w:t>Determine whether the risk-based CDD policies, procedures, and processes are commensurate with the bank’s BSA/AML risk profile with increased focus on higher risk customers.</w:t>
            </w:r>
          </w:p>
        </w:tc>
        <w:tc>
          <w:tcPr>
            <w:tcW w:w="5508" w:type="dxa"/>
            <w:shd w:val="clear" w:color="auto" w:fill="auto"/>
          </w:tcPr>
          <w:p w14:paraId="23EDD32F" w14:textId="77777777" w:rsidR="00C7598C" w:rsidRPr="00EC4C3D" w:rsidRDefault="00C7598C" w:rsidP="00FD77C2">
            <w:pPr>
              <w:rPr>
                <w:sz w:val="22"/>
                <w:szCs w:val="22"/>
              </w:rPr>
            </w:pPr>
          </w:p>
        </w:tc>
      </w:tr>
      <w:tr w:rsidR="00C7598C" w:rsidRPr="00EC4C3D" w14:paraId="1A12C245" w14:textId="77777777" w:rsidTr="00FD77C2">
        <w:tc>
          <w:tcPr>
            <w:tcW w:w="5508" w:type="dxa"/>
            <w:shd w:val="clear" w:color="auto" w:fill="auto"/>
          </w:tcPr>
          <w:p w14:paraId="1AB83938" w14:textId="17D69CB9" w:rsidR="00C7598C" w:rsidRPr="00EC4C3D" w:rsidRDefault="00AA0A26" w:rsidP="00C7598C">
            <w:pPr>
              <w:numPr>
                <w:ilvl w:val="0"/>
                <w:numId w:val="38"/>
              </w:numPr>
              <w:rPr>
                <w:sz w:val="22"/>
                <w:szCs w:val="22"/>
              </w:rPr>
            </w:pPr>
            <w:r w:rsidRPr="00AA0A26">
              <w:rPr>
                <w:sz w:val="22"/>
                <w:szCs w:val="22"/>
              </w:rPr>
              <w:t>Determine whether policies, procedures, and processes contain a clear statement of management’s and staff’s responsibilities, including procedures, authority, and responsibility for reviewing and approving changes to a customer’s risk profile, as applicable.</w:t>
            </w:r>
          </w:p>
        </w:tc>
        <w:tc>
          <w:tcPr>
            <w:tcW w:w="5508" w:type="dxa"/>
            <w:shd w:val="clear" w:color="auto" w:fill="auto"/>
          </w:tcPr>
          <w:p w14:paraId="2877E180" w14:textId="77777777" w:rsidR="00C7598C" w:rsidRPr="00EC4C3D" w:rsidRDefault="00C7598C" w:rsidP="00FD77C2">
            <w:pPr>
              <w:rPr>
                <w:sz w:val="22"/>
                <w:szCs w:val="22"/>
              </w:rPr>
            </w:pPr>
          </w:p>
        </w:tc>
      </w:tr>
      <w:tr w:rsidR="00AA0A26" w:rsidRPr="00EC4C3D" w14:paraId="2F17F051" w14:textId="77777777" w:rsidTr="00FD77C2">
        <w:tc>
          <w:tcPr>
            <w:tcW w:w="5508" w:type="dxa"/>
            <w:shd w:val="clear" w:color="auto" w:fill="auto"/>
          </w:tcPr>
          <w:p w14:paraId="08D5FF35" w14:textId="701DEE40" w:rsidR="00AA0A26" w:rsidRPr="00AA0A26" w:rsidRDefault="00AA0A26" w:rsidP="00C7598C">
            <w:pPr>
              <w:numPr>
                <w:ilvl w:val="0"/>
                <w:numId w:val="38"/>
              </w:numPr>
              <w:rPr>
                <w:sz w:val="22"/>
                <w:szCs w:val="22"/>
              </w:rPr>
            </w:pPr>
            <w:r w:rsidRPr="00AA0A26">
              <w:rPr>
                <w:sz w:val="22"/>
                <w:szCs w:val="22"/>
              </w:rPr>
              <w:t>Determine that the bank has policies, procedures, and processes to identify customers that may pose higher risk for money laundering or terrorist financing that include whether and/or when, on the basis of risk, it is appropriate to obtain and review additional customer information.</w:t>
            </w:r>
          </w:p>
        </w:tc>
        <w:tc>
          <w:tcPr>
            <w:tcW w:w="5508" w:type="dxa"/>
            <w:shd w:val="clear" w:color="auto" w:fill="auto"/>
          </w:tcPr>
          <w:p w14:paraId="14AC3FCA" w14:textId="77777777" w:rsidR="00AA0A26" w:rsidRPr="00EC4C3D" w:rsidRDefault="00AA0A26" w:rsidP="00FD77C2">
            <w:pPr>
              <w:rPr>
                <w:sz w:val="22"/>
                <w:szCs w:val="22"/>
              </w:rPr>
            </w:pPr>
          </w:p>
        </w:tc>
      </w:tr>
      <w:tr w:rsidR="00AA0A26" w:rsidRPr="00EC4C3D" w14:paraId="645F410B" w14:textId="77777777" w:rsidTr="00FD77C2">
        <w:tc>
          <w:tcPr>
            <w:tcW w:w="5508" w:type="dxa"/>
            <w:shd w:val="clear" w:color="auto" w:fill="auto"/>
          </w:tcPr>
          <w:p w14:paraId="3C207868" w14:textId="05C79D6C" w:rsidR="00AA0A26" w:rsidRPr="00AA0A26" w:rsidRDefault="00AA0A26" w:rsidP="00C7598C">
            <w:pPr>
              <w:numPr>
                <w:ilvl w:val="0"/>
                <w:numId w:val="38"/>
              </w:numPr>
              <w:rPr>
                <w:sz w:val="22"/>
                <w:szCs w:val="22"/>
              </w:rPr>
            </w:pPr>
            <w:r w:rsidRPr="00AA0A26">
              <w:rPr>
                <w:sz w:val="22"/>
                <w:szCs w:val="22"/>
              </w:rPr>
              <w:t>Determine whether the bank provides guidance for documenting analysis associated with the due diligence process, including guidance for resolving issues when insufficient or inaccurate information is obtained.</w:t>
            </w:r>
          </w:p>
        </w:tc>
        <w:tc>
          <w:tcPr>
            <w:tcW w:w="5508" w:type="dxa"/>
            <w:shd w:val="clear" w:color="auto" w:fill="auto"/>
          </w:tcPr>
          <w:p w14:paraId="44B81089" w14:textId="77777777" w:rsidR="00AA0A26" w:rsidRPr="00EC4C3D" w:rsidRDefault="00AA0A26" w:rsidP="00FD77C2">
            <w:pPr>
              <w:rPr>
                <w:sz w:val="22"/>
                <w:szCs w:val="22"/>
              </w:rPr>
            </w:pPr>
          </w:p>
        </w:tc>
      </w:tr>
      <w:tr w:rsidR="00AA0A26" w:rsidRPr="00EC4C3D" w14:paraId="44442ADE" w14:textId="77777777" w:rsidTr="00FD77C2">
        <w:tc>
          <w:tcPr>
            <w:tcW w:w="5508" w:type="dxa"/>
            <w:shd w:val="clear" w:color="auto" w:fill="auto"/>
          </w:tcPr>
          <w:p w14:paraId="1DC1820A" w14:textId="1BEE96DA" w:rsidR="00AA0A26" w:rsidRPr="00AA0A26" w:rsidRDefault="00AA0A26" w:rsidP="00C7598C">
            <w:pPr>
              <w:numPr>
                <w:ilvl w:val="0"/>
                <w:numId w:val="38"/>
              </w:numPr>
              <w:rPr>
                <w:sz w:val="22"/>
                <w:szCs w:val="22"/>
              </w:rPr>
            </w:pPr>
            <w:r w:rsidRPr="00AA0A26">
              <w:rPr>
                <w:sz w:val="22"/>
                <w:szCs w:val="22"/>
              </w:rPr>
              <w:lastRenderedPageBreak/>
              <w:t>Determine whether the bank has defined in its policies, procedures, and processes how customer information, including beneficial ownership information for legal entity customers, is used to meet other relevant regulatory requirements, including but not limited to, identifying suspicious activity, identifying nominal and beneficial owners of private banking accounts, and determining OFAC sanctioned parties.</w:t>
            </w:r>
          </w:p>
        </w:tc>
        <w:tc>
          <w:tcPr>
            <w:tcW w:w="5508" w:type="dxa"/>
            <w:shd w:val="clear" w:color="auto" w:fill="auto"/>
          </w:tcPr>
          <w:p w14:paraId="23A67787" w14:textId="77777777" w:rsidR="00AA0A26" w:rsidRPr="00EC4C3D" w:rsidRDefault="00AA0A26" w:rsidP="00FD77C2">
            <w:pPr>
              <w:rPr>
                <w:sz w:val="22"/>
                <w:szCs w:val="22"/>
              </w:rPr>
            </w:pPr>
          </w:p>
        </w:tc>
      </w:tr>
      <w:tr w:rsidR="00C7598C" w:rsidRPr="00EC4C3D" w14:paraId="6FE4C3AA" w14:textId="77777777" w:rsidTr="00FD77C2">
        <w:tc>
          <w:tcPr>
            <w:tcW w:w="11016" w:type="dxa"/>
            <w:gridSpan w:val="2"/>
            <w:shd w:val="clear" w:color="auto" w:fill="auto"/>
          </w:tcPr>
          <w:p w14:paraId="5CB39194" w14:textId="77777777" w:rsidR="00C7598C" w:rsidRPr="00EC4C3D" w:rsidRDefault="00C7598C" w:rsidP="00FD77C2">
            <w:pPr>
              <w:rPr>
                <w:b/>
                <w:sz w:val="28"/>
                <w:szCs w:val="28"/>
              </w:rPr>
            </w:pPr>
            <w:r w:rsidRPr="00EC4C3D">
              <w:rPr>
                <w:b/>
                <w:sz w:val="28"/>
                <w:szCs w:val="28"/>
              </w:rPr>
              <w:t>Transaction Testing</w:t>
            </w:r>
          </w:p>
        </w:tc>
      </w:tr>
      <w:tr w:rsidR="00C7598C" w:rsidRPr="00EC4C3D" w14:paraId="696CB341" w14:textId="77777777" w:rsidTr="00FD77C2">
        <w:tc>
          <w:tcPr>
            <w:tcW w:w="5508" w:type="dxa"/>
            <w:shd w:val="clear" w:color="auto" w:fill="auto"/>
          </w:tcPr>
          <w:p w14:paraId="363335FD" w14:textId="0AFEB2EB" w:rsidR="00C7598C" w:rsidRPr="00EC4C3D" w:rsidRDefault="00AA0A26" w:rsidP="00C7598C">
            <w:pPr>
              <w:numPr>
                <w:ilvl w:val="0"/>
                <w:numId w:val="38"/>
              </w:numPr>
              <w:rPr>
                <w:sz w:val="22"/>
                <w:szCs w:val="22"/>
              </w:rPr>
            </w:pPr>
            <w:r w:rsidRPr="00AA0A26">
              <w:rPr>
                <w:bCs/>
                <w:sz w:val="22"/>
                <w:szCs w:val="22"/>
              </w:rPr>
              <w:t>On the basis of a risk assessment, prior examination reports, and a review of the bank’s audit findings, select a sample of customer information.  Determine whether the bank collects appropriate information sufficient to understand the nature and purpose of the customer relationship and effectively incorporates customer information, including beneficial ownership information for legal entity customers, into the customer risk profile.  This sample can be performed when testing the bank’s compliance with its policies, procedures, and processes as well as when reviewing transactions or accounts for possible suspicious activity.</w:t>
            </w:r>
          </w:p>
        </w:tc>
        <w:tc>
          <w:tcPr>
            <w:tcW w:w="5508" w:type="dxa"/>
            <w:shd w:val="clear" w:color="auto" w:fill="auto"/>
          </w:tcPr>
          <w:p w14:paraId="65AAEDAB" w14:textId="77777777" w:rsidR="00C7598C" w:rsidRPr="00EC4C3D" w:rsidRDefault="00C7598C" w:rsidP="00FD77C2">
            <w:pPr>
              <w:rPr>
                <w:sz w:val="22"/>
                <w:szCs w:val="22"/>
              </w:rPr>
            </w:pPr>
          </w:p>
        </w:tc>
      </w:tr>
      <w:tr w:rsidR="00C7598C" w:rsidRPr="00EC4C3D" w14:paraId="6E5951CB" w14:textId="77777777" w:rsidTr="00FD77C2">
        <w:tc>
          <w:tcPr>
            <w:tcW w:w="5508" w:type="dxa"/>
            <w:shd w:val="clear" w:color="auto" w:fill="auto"/>
          </w:tcPr>
          <w:p w14:paraId="0A25A14E" w14:textId="017168E3" w:rsidR="00C7598C" w:rsidRPr="00EC4C3D" w:rsidRDefault="00AA0A26" w:rsidP="00C7598C">
            <w:pPr>
              <w:numPr>
                <w:ilvl w:val="0"/>
                <w:numId w:val="38"/>
              </w:numPr>
              <w:rPr>
                <w:bCs/>
                <w:sz w:val="22"/>
                <w:szCs w:val="22"/>
              </w:rPr>
            </w:pPr>
            <w:r w:rsidRPr="00AA0A26">
              <w:rPr>
                <w:bCs/>
                <w:sz w:val="22"/>
                <w:szCs w:val="22"/>
              </w:rPr>
              <w:t>On the basis of examination procedures completed, including transaction testing, form a conclusion about the adequacy of policies, procedures, and processes associated with CDD.</w:t>
            </w:r>
          </w:p>
        </w:tc>
        <w:tc>
          <w:tcPr>
            <w:tcW w:w="5508" w:type="dxa"/>
            <w:shd w:val="clear" w:color="auto" w:fill="auto"/>
          </w:tcPr>
          <w:p w14:paraId="60A9D4E5" w14:textId="77777777" w:rsidR="00C7598C" w:rsidRPr="00EC4C3D" w:rsidRDefault="00C7598C" w:rsidP="00FD77C2">
            <w:pPr>
              <w:rPr>
                <w:sz w:val="22"/>
                <w:szCs w:val="22"/>
              </w:rPr>
            </w:pPr>
          </w:p>
        </w:tc>
      </w:tr>
    </w:tbl>
    <w:p w14:paraId="39A1F16E" w14:textId="77777777" w:rsidR="008218DF" w:rsidRPr="00C7598C" w:rsidRDefault="008218DF" w:rsidP="00C7598C"/>
    <w:sectPr w:rsidR="008218DF" w:rsidRPr="00C7598C" w:rsidSect="00C73169">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11ACE4" w14:textId="77777777" w:rsidR="001C597F" w:rsidRDefault="001C597F" w:rsidP="001C59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0AE9" w14:textId="77777777" w:rsidR="00644539" w:rsidRDefault="0064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D958137" w14:textId="77777777" w:rsidR="001C597F" w:rsidRDefault="001C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BDD6" w14:textId="77777777" w:rsidR="00644539" w:rsidRDefault="006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F97"/>
    <w:multiLevelType w:val="hybridMultilevel"/>
    <w:tmpl w:val="2E6E95AA"/>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3264"/>
    <w:multiLevelType w:val="hybridMultilevel"/>
    <w:tmpl w:val="F2E4D16A"/>
    <w:lvl w:ilvl="0" w:tplc="AFEC9D2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2140"/>
    <w:multiLevelType w:val="hybridMultilevel"/>
    <w:tmpl w:val="A9407D90"/>
    <w:lvl w:ilvl="0" w:tplc="AFEC9D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D752B"/>
    <w:multiLevelType w:val="hybridMultilevel"/>
    <w:tmpl w:val="AB1A71E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886"/>
    <w:multiLevelType w:val="hybridMultilevel"/>
    <w:tmpl w:val="3DC2CB94"/>
    <w:lvl w:ilvl="0" w:tplc="6A302F9A">
      <w:start w:val="1"/>
      <w:numFmt w:val="bullet"/>
      <w:lvlText w:val="–"/>
      <w:lvlJc w:val="left"/>
      <w:pPr>
        <w:ind w:left="720" w:hanging="360"/>
      </w:pPr>
      <w:rPr>
        <w:rFonts w:ascii="Times New Roman" w:hAnsi="Times New Roman" w:cs="Times New Roman" w:hint="default"/>
      </w:rPr>
    </w:lvl>
    <w:lvl w:ilvl="1" w:tplc="6A302F9A">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A0041"/>
    <w:multiLevelType w:val="hybridMultilevel"/>
    <w:tmpl w:val="E86AD8DE"/>
    <w:lvl w:ilvl="0" w:tplc="AFEC9D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B6DDB"/>
    <w:multiLevelType w:val="hybridMultilevel"/>
    <w:tmpl w:val="536267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A799B"/>
    <w:multiLevelType w:val="hybridMultilevel"/>
    <w:tmpl w:val="FE0C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4A81"/>
    <w:multiLevelType w:val="hybridMultilevel"/>
    <w:tmpl w:val="EEFCF3D4"/>
    <w:lvl w:ilvl="0" w:tplc="04090001">
      <w:start w:val="1"/>
      <w:numFmt w:val="bullet"/>
      <w:lvlText w:val=""/>
      <w:lvlJc w:val="left"/>
      <w:pPr>
        <w:ind w:left="720" w:hanging="360"/>
      </w:pPr>
      <w:rPr>
        <w:rFonts w:ascii="Symbol" w:hAnsi="Symbol" w:hint="default"/>
      </w:rPr>
    </w:lvl>
    <w:lvl w:ilvl="1" w:tplc="6A302F9A">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7575B"/>
    <w:multiLevelType w:val="hybridMultilevel"/>
    <w:tmpl w:val="A35209D6"/>
    <w:lvl w:ilvl="0" w:tplc="CAB89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060C1"/>
    <w:multiLevelType w:val="hybridMultilevel"/>
    <w:tmpl w:val="442809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13726F"/>
    <w:multiLevelType w:val="hybridMultilevel"/>
    <w:tmpl w:val="B25C0D6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9140F8A"/>
    <w:multiLevelType w:val="hybridMultilevel"/>
    <w:tmpl w:val="25DCB32A"/>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40B83"/>
    <w:multiLevelType w:val="hybridMultilevel"/>
    <w:tmpl w:val="1C5EA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8049B"/>
    <w:multiLevelType w:val="hybridMultilevel"/>
    <w:tmpl w:val="A49C65DE"/>
    <w:lvl w:ilvl="0" w:tplc="F4E23D48">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7510F"/>
    <w:multiLevelType w:val="hybridMultilevel"/>
    <w:tmpl w:val="E1145A48"/>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433D8"/>
    <w:multiLevelType w:val="hybridMultilevel"/>
    <w:tmpl w:val="80B8B612"/>
    <w:lvl w:ilvl="0" w:tplc="B2C49624">
      <w:start w:val="1"/>
      <w:numFmt w:val="decimal"/>
      <w:lvlText w:val="%1."/>
      <w:lvlJc w:val="left"/>
      <w:pPr>
        <w:ind w:left="360" w:hanging="360"/>
      </w:pPr>
      <w:rPr>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BC6D5F"/>
    <w:multiLevelType w:val="hybridMultilevel"/>
    <w:tmpl w:val="4208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2799F"/>
    <w:multiLevelType w:val="multilevel"/>
    <w:tmpl w:val="220A40F4"/>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A517E0"/>
    <w:multiLevelType w:val="hybridMultilevel"/>
    <w:tmpl w:val="39E092B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C62C4"/>
    <w:multiLevelType w:val="hybridMultilevel"/>
    <w:tmpl w:val="842C0F6C"/>
    <w:lvl w:ilvl="0" w:tplc="04090001">
      <w:start w:val="1"/>
      <w:numFmt w:val="bullet"/>
      <w:lvlText w:val=""/>
      <w:lvlJc w:val="left"/>
      <w:pPr>
        <w:ind w:left="500" w:hanging="360"/>
      </w:pPr>
      <w:rPr>
        <w:rFonts w:ascii="Symbol" w:hAnsi="Symbol" w:hint="default"/>
        <w:sz w:val="24"/>
        <w:szCs w:val="24"/>
      </w:rPr>
    </w:lvl>
    <w:lvl w:ilvl="1" w:tplc="8A044DEC">
      <w:start w:val="1"/>
      <w:numFmt w:val="bullet"/>
      <w:lvlText w:val="•"/>
      <w:lvlJc w:val="left"/>
      <w:pPr>
        <w:ind w:left="1396" w:hanging="360"/>
      </w:pPr>
      <w:rPr>
        <w:rFonts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22" w15:restartNumberingAfterBreak="0">
    <w:nsid w:val="465749A5"/>
    <w:multiLevelType w:val="hybridMultilevel"/>
    <w:tmpl w:val="83F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B3F95"/>
    <w:multiLevelType w:val="hybridMultilevel"/>
    <w:tmpl w:val="CED8D23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7525186"/>
    <w:multiLevelType w:val="hybridMultilevel"/>
    <w:tmpl w:val="87880068"/>
    <w:lvl w:ilvl="0" w:tplc="C61A6248">
      <w:start w:val="1"/>
      <w:numFmt w:val="bullet"/>
      <w:lvlText w:val=""/>
      <w:lvlJc w:val="left"/>
      <w:pPr>
        <w:tabs>
          <w:tab w:val="num" w:pos="-2970"/>
        </w:tabs>
        <w:ind w:left="-2970" w:hanging="360"/>
      </w:pPr>
      <w:rPr>
        <w:rFonts w:ascii="Symbol" w:hAnsi="Symbol" w:hint="default"/>
        <w:color w:val="auto"/>
        <w:sz w:val="24"/>
        <w:szCs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270"/>
        </w:tabs>
        <w:ind w:left="270" w:hanging="360"/>
      </w:pPr>
      <w:rPr>
        <w:rFonts w:ascii="Courier New" w:hAnsi="Courier New" w:cs="Courier New" w:hint="default"/>
      </w:rPr>
    </w:lvl>
    <w:lvl w:ilvl="5" w:tplc="04090005" w:tentative="1">
      <w:start w:val="1"/>
      <w:numFmt w:val="bullet"/>
      <w:lvlText w:val=""/>
      <w:lvlJc w:val="left"/>
      <w:pPr>
        <w:tabs>
          <w:tab w:val="num" w:pos="990"/>
        </w:tabs>
        <w:ind w:left="990" w:hanging="360"/>
      </w:pPr>
      <w:rPr>
        <w:rFonts w:ascii="Wingdings" w:hAnsi="Wingdings" w:hint="default"/>
      </w:rPr>
    </w:lvl>
    <w:lvl w:ilvl="6" w:tplc="04090001" w:tentative="1">
      <w:start w:val="1"/>
      <w:numFmt w:val="bullet"/>
      <w:lvlText w:val=""/>
      <w:lvlJc w:val="left"/>
      <w:pPr>
        <w:tabs>
          <w:tab w:val="num" w:pos="1710"/>
        </w:tabs>
        <w:ind w:left="1710" w:hanging="360"/>
      </w:pPr>
      <w:rPr>
        <w:rFonts w:ascii="Symbol" w:hAnsi="Symbol" w:hint="default"/>
      </w:rPr>
    </w:lvl>
    <w:lvl w:ilvl="7" w:tplc="04090003" w:tentative="1">
      <w:start w:val="1"/>
      <w:numFmt w:val="bullet"/>
      <w:lvlText w:val="o"/>
      <w:lvlJc w:val="left"/>
      <w:pPr>
        <w:tabs>
          <w:tab w:val="num" w:pos="2430"/>
        </w:tabs>
        <w:ind w:left="243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25" w15:restartNumberingAfterBreak="0">
    <w:nsid w:val="480B2458"/>
    <w:multiLevelType w:val="hybridMultilevel"/>
    <w:tmpl w:val="D690DB0C"/>
    <w:lvl w:ilvl="0" w:tplc="AFEC9D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E7287"/>
    <w:multiLevelType w:val="hybridMultilevel"/>
    <w:tmpl w:val="88D275B4"/>
    <w:lvl w:ilvl="0" w:tplc="8480ABF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9AE561E"/>
    <w:multiLevelType w:val="hybridMultilevel"/>
    <w:tmpl w:val="73E20D3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3914DF"/>
    <w:multiLevelType w:val="hybridMultilevel"/>
    <w:tmpl w:val="4F9ECA28"/>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730930"/>
    <w:multiLevelType w:val="hybridMultilevel"/>
    <w:tmpl w:val="6C06B4AC"/>
    <w:lvl w:ilvl="0" w:tplc="04090001">
      <w:start w:val="1"/>
      <w:numFmt w:val="bullet"/>
      <w:lvlText w:val=""/>
      <w:lvlJc w:val="left"/>
      <w:pPr>
        <w:ind w:left="500" w:hanging="360"/>
      </w:pPr>
      <w:rPr>
        <w:rFonts w:ascii="Symbol" w:hAnsi="Symbol" w:hint="default"/>
        <w:sz w:val="24"/>
        <w:szCs w:val="24"/>
      </w:rPr>
    </w:lvl>
    <w:lvl w:ilvl="1" w:tplc="6A302F9A">
      <w:start w:val="1"/>
      <w:numFmt w:val="bullet"/>
      <w:lvlText w:val="–"/>
      <w:lvlJc w:val="left"/>
      <w:pPr>
        <w:ind w:left="1396" w:hanging="360"/>
      </w:pPr>
      <w:rPr>
        <w:rFonts w:ascii="Times New Roman" w:hAnsi="Times New Roman" w:cs="Times New Roman"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31" w15:restartNumberingAfterBreak="0">
    <w:nsid w:val="594274FC"/>
    <w:multiLevelType w:val="hybridMultilevel"/>
    <w:tmpl w:val="3CC24738"/>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5A1F24E1"/>
    <w:multiLevelType w:val="hybridMultilevel"/>
    <w:tmpl w:val="FAA415A2"/>
    <w:lvl w:ilvl="0" w:tplc="AFEC9D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31DD9"/>
    <w:multiLevelType w:val="hybridMultilevel"/>
    <w:tmpl w:val="9AEA9832"/>
    <w:lvl w:ilvl="0" w:tplc="5430202C">
      <w:start w:val="1"/>
      <w:numFmt w:val="decimal"/>
      <w:lvlText w:val="%1."/>
      <w:lvlJc w:val="left"/>
      <w:pPr>
        <w:ind w:left="360" w:hanging="360"/>
      </w:pPr>
      <w:rPr>
        <w:rFonts w:ascii="Times New Roman" w:eastAsia="Times New Roman" w:hAnsi="Times New Roman" w:hint="default"/>
        <w:sz w:val="24"/>
        <w:szCs w:val="24"/>
      </w:rPr>
    </w:lvl>
    <w:lvl w:ilvl="1" w:tplc="8A044DEC">
      <w:start w:val="1"/>
      <w:numFmt w:val="bullet"/>
      <w:lvlText w:val="•"/>
      <w:lvlJc w:val="left"/>
      <w:pPr>
        <w:ind w:left="1396" w:hanging="360"/>
      </w:pPr>
      <w:rPr>
        <w:rFonts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34" w15:restartNumberingAfterBreak="0">
    <w:nsid w:val="624F46F3"/>
    <w:multiLevelType w:val="hybridMultilevel"/>
    <w:tmpl w:val="372020AE"/>
    <w:lvl w:ilvl="0" w:tplc="AFEC9D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D47A98"/>
    <w:multiLevelType w:val="hybridMultilevel"/>
    <w:tmpl w:val="F4F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5560F"/>
    <w:multiLevelType w:val="hybridMultilevel"/>
    <w:tmpl w:val="4EA20E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83592"/>
    <w:multiLevelType w:val="hybridMultilevel"/>
    <w:tmpl w:val="C364552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483CCC"/>
    <w:multiLevelType w:val="hybridMultilevel"/>
    <w:tmpl w:val="DBC6D57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76410"/>
    <w:multiLevelType w:val="hybridMultilevel"/>
    <w:tmpl w:val="234C8B82"/>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171599"/>
    <w:multiLevelType w:val="hybridMultilevel"/>
    <w:tmpl w:val="7ACA1A1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01ECB"/>
    <w:multiLevelType w:val="hybridMultilevel"/>
    <w:tmpl w:val="2F621044"/>
    <w:lvl w:ilvl="0" w:tplc="B2C49624">
      <w:start w:val="1"/>
      <w:numFmt w:val="decimal"/>
      <w:lvlText w:val="%1."/>
      <w:lvlJc w:val="left"/>
      <w:pPr>
        <w:ind w:left="360" w:hanging="360"/>
      </w:pPr>
      <w:rPr>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CD1715"/>
    <w:multiLevelType w:val="hybridMultilevel"/>
    <w:tmpl w:val="EE0CD21E"/>
    <w:lvl w:ilvl="0" w:tplc="7946E8FC">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15:restartNumberingAfterBreak="0">
    <w:nsid w:val="7AB53FF2"/>
    <w:multiLevelType w:val="hybridMultilevel"/>
    <w:tmpl w:val="9962CFD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050E2"/>
    <w:multiLevelType w:val="hybridMultilevel"/>
    <w:tmpl w:val="8F6822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6"/>
  </w:num>
  <w:num w:numId="4">
    <w:abstractNumId w:val="24"/>
  </w:num>
  <w:num w:numId="5">
    <w:abstractNumId w:val="14"/>
  </w:num>
  <w:num w:numId="6">
    <w:abstractNumId w:val="5"/>
  </w:num>
  <w:num w:numId="7">
    <w:abstractNumId w:val="41"/>
  </w:num>
  <w:num w:numId="8">
    <w:abstractNumId w:val="25"/>
  </w:num>
  <w:num w:numId="9">
    <w:abstractNumId w:val="2"/>
  </w:num>
  <w:num w:numId="10">
    <w:abstractNumId w:val="34"/>
  </w:num>
  <w:num w:numId="11">
    <w:abstractNumId w:val="10"/>
  </w:num>
  <w:num w:numId="12">
    <w:abstractNumId w:val="26"/>
  </w:num>
  <w:num w:numId="13">
    <w:abstractNumId w:val="3"/>
  </w:num>
  <w:num w:numId="14">
    <w:abstractNumId w:val="43"/>
  </w:num>
  <w:num w:numId="15">
    <w:abstractNumId w:val="44"/>
  </w:num>
  <w:num w:numId="16">
    <w:abstractNumId w:val="27"/>
  </w:num>
  <w:num w:numId="17">
    <w:abstractNumId w:val="38"/>
  </w:num>
  <w:num w:numId="18">
    <w:abstractNumId w:val="36"/>
  </w:num>
  <w:num w:numId="19">
    <w:abstractNumId w:val="35"/>
  </w:num>
  <w:num w:numId="20">
    <w:abstractNumId w:val="22"/>
  </w:num>
  <w:num w:numId="21">
    <w:abstractNumId w:val="7"/>
  </w:num>
  <w:num w:numId="22">
    <w:abstractNumId w:val="0"/>
  </w:num>
  <w:num w:numId="23">
    <w:abstractNumId w:val="20"/>
  </w:num>
  <w:num w:numId="24">
    <w:abstractNumId w:val="9"/>
  </w:num>
  <w:num w:numId="25">
    <w:abstractNumId w:val="17"/>
  </w:num>
  <w:num w:numId="26">
    <w:abstractNumId w:val="40"/>
  </w:num>
  <w:num w:numId="27">
    <w:abstractNumId w:val="1"/>
  </w:num>
  <w:num w:numId="28">
    <w:abstractNumId w:val="16"/>
  </w:num>
  <w:num w:numId="29">
    <w:abstractNumId w:val="29"/>
  </w:num>
  <w:num w:numId="30">
    <w:abstractNumId w:val="42"/>
  </w:num>
  <w:num w:numId="31">
    <w:abstractNumId w:val="32"/>
  </w:num>
  <w:num w:numId="32">
    <w:abstractNumId w:val="15"/>
  </w:num>
  <w:num w:numId="33">
    <w:abstractNumId w:val="31"/>
  </w:num>
  <w:num w:numId="34">
    <w:abstractNumId w:val="37"/>
  </w:num>
  <w:num w:numId="35">
    <w:abstractNumId w:val="12"/>
  </w:num>
  <w:num w:numId="36">
    <w:abstractNumId w:val="11"/>
  </w:num>
  <w:num w:numId="37">
    <w:abstractNumId w:val="39"/>
  </w:num>
  <w:num w:numId="38">
    <w:abstractNumId w:val="13"/>
  </w:num>
  <w:num w:numId="39">
    <w:abstractNumId w:val="33"/>
  </w:num>
  <w:num w:numId="40">
    <w:abstractNumId w:val="21"/>
  </w:num>
  <w:num w:numId="41">
    <w:abstractNumId w:val="30"/>
  </w:num>
  <w:num w:numId="42">
    <w:abstractNumId w:val="23"/>
  </w:num>
  <w:num w:numId="43">
    <w:abstractNumId w:val="8"/>
  </w:num>
  <w:num w:numId="44">
    <w:abstractNumId w:val="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B6182"/>
    <w:rsid w:val="00153D87"/>
    <w:rsid w:val="001C597F"/>
    <w:rsid w:val="002456DC"/>
    <w:rsid w:val="002C7896"/>
    <w:rsid w:val="00381955"/>
    <w:rsid w:val="00545344"/>
    <w:rsid w:val="00551E98"/>
    <w:rsid w:val="005A483D"/>
    <w:rsid w:val="00644539"/>
    <w:rsid w:val="0066634D"/>
    <w:rsid w:val="006773F5"/>
    <w:rsid w:val="00693331"/>
    <w:rsid w:val="006938EE"/>
    <w:rsid w:val="00711436"/>
    <w:rsid w:val="0074091F"/>
    <w:rsid w:val="008218DF"/>
    <w:rsid w:val="0082386F"/>
    <w:rsid w:val="00827065"/>
    <w:rsid w:val="008C1A62"/>
    <w:rsid w:val="008D1B70"/>
    <w:rsid w:val="00942A1C"/>
    <w:rsid w:val="00A13081"/>
    <w:rsid w:val="00A33330"/>
    <w:rsid w:val="00A37C93"/>
    <w:rsid w:val="00A9534A"/>
    <w:rsid w:val="00AA0A26"/>
    <w:rsid w:val="00AB7A7D"/>
    <w:rsid w:val="00AC3068"/>
    <w:rsid w:val="00B0373F"/>
    <w:rsid w:val="00B57732"/>
    <w:rsid w:val="00BD16CB"/>
    <w:rsid w:val="00C40DD6"/>
    <w:rsid w:val="00C73169"/>
    <w:rsid w:val="00C7598C"/>
    <w:rsid w:val="00CC10D0"/>
    <w:rsid w:val="00CE1F59"/>
    <w:rsid w:val="00CF0853"/>
    <w:rsid w:val="00CF7AF0"/>
    <w:rsid w:val="00D8007E"/>
    <w:rsid w:val="00D95CB7"/>
    <w:rsid w:val="00DA7E7B"/>
    <w:rsid w:val="00EC37F2"/>
    <w:rsid w:val="00F338D1"/>
    <w:rsid w:val="00F410AB"/>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5"/>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218DF"/>
  </w:style>
  <w:style w:type="character" w:customStyle="1" w:styleId="FootnoteTextChar">
    <w:name w:val="Footnote Text Char"/>
    <w:basedOn w:val="DefaultParagraphFont"/>
    <w:link w:val="FootnoteText"/>
    <w:uiPriority w:val="99"/>
    <w:semiHidden/>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0DBF-EB31-4646-8058-8178EC6B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2845</Characters>
  <Application>Microsoft Office Word</Application>
  <DocSecurity>0</DocSecurity>
  <Lines>23</Lines>
  <Paragraphs>6</Paragraphs>
  <ScaleCrop>false</ScaleCrop>
  <Company>CPS</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4</cp:revision>
  <dcterms:created xsi:type="dcterms:W3CDTF">2018-06-06T15:00:00Z</dcterms:created>
  <dcterms:modified xsi:type="dcterms:W3CDTF">2018-07-26T16:31:00Z</dcterms:modified>
</cp:coreProperties>
</file>