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4A47" w14:textId="77777777" w:rsidR="00214C57" w:rsidRDefault="00214C57" w:rsidP="00214C57">
      <w:pPr>
        <w:pStyle w:val="Head3-BSA-AML"/>
      </w:pPr>
      <w:bookmarkStart w:id="0" w:name="_Toc135558552"/>
      <w:r w:rsidRPr="00184194">
        <w:rPr>
          <w:sz w:val="36"/>
          <w:szCs w:val="36"/>
        </w:rPr>
        <w:t>Examination Procedures</w:t>
      </w:r>
    </w:p>
    <w:p w14:paraId="05FD65EE" w14:textId="77777777" w:rsidR="00214C57" w:rsidRDefault="00214C57" w:rsidP="00214C57">
      <w:pPr>
        <w:pStyle w:val="Head4-BSA-AML"/>
        <w:jc w:val="center"/>
      </w:pPr>
      <w:r>
        <w:t>Suspicious Activity Reporting</w:t>
      </w:r>
      <w:bookmarkEnd w:id="0"/>
    </w:p>
    <w:p w14:paraId="653C10A8" w14:textId="77777777" w:rsidR="00214C57" w:rsidRPr="00750FA6" w:rsidRDefault="00214C57" w:rsidP="00214C57">
      <w:pPr>
        <w:rPr>
          <w:i/>
          <w:sz w:val="24"/>
          <w:szCs w:val="24"/>
        </w:rPr>
      </w:pPr>
      <w:r w:rsidRPr="00066CEF">
        <w:rPr>
          <w:rStyle w:val="Head7-BSA-AMLCharChar"/>
        </w:rPr>
        <w:t>Objective.</w:t>
      </w:r>
      <w:r w:rsidRPr="00066CEF">
        <w:t xml:space="preserve"> </w:t>
      </w:r>
      <w:r>
        <w:t xml:space="preserve"> </w:t>
      </w:r>
      <w:r w:rsidRPr="00750FA6">
        <w:rPr>
          <w:i/>
          <w:sz w:val="24"/>
          <w:szCs w:val="24"/>
        </w:rPr>
        <w:t>Assess the bank’s policies, procedures, and processes, and overall compliance with statutory and regulatory requirements for monitoring, detecting, and reporting suspicious activities.</w:t>
      </w:r>
    </w:p>
    <w:p w14:paraId="4C57FBE2" w14:textId="77777777" w:rsidR="00214C57" w:rsidRDefault="00214C57" w:rsidP="00214C57">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5381"/>
      </w:tblGrid>
      <w:tr w:rsidR="00214C57" w:rsidRPr="00EC4C3D" w14:paraId="5ED26A1F" w14:textId="77777777" w:rsidTr="00FD77C2">
        <w:trPr>
          <w:tblHeader/>
        </w:trPr>
        <w:tc>
          <w:tcPr>
            <w:tcW w:w="5508" w:type="dxa"/>
            <w:tcBorders>
              <w:bottom w:val="single" w:sz="4" w:space="0" w:color="auto"/>
            </w:tcBorders>
            <w:shd w:val="clear" w:color="auto" w:fill="E0E0E0"/>
          </w:tcPr>
          <w:p w14:paraId="6666FACB" w14:textId="77777777" w:rsidR="00214C57" w:rsidRPr="00EC4C3D" w:rsidRDefault="00214C57"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17B03AF4" w14:textId="77777777" w:rsidR="00214C57" w:rsidRPr="00EC4C3D" w:rsidRDefault="00214C57" w:rsidP="00FD77C2">
            <w:pPr>
              <w:rPr>
                <w:b/>
                <w:sz w:val="28"/>
                <w:szCs w:val="28"/>
              </w:rPr>
            </w:pPr>
            <w:r w:rsidRPr="00EC4C3D">
              <w:rPr>
                <w:b/>
                <w:sz w:val="28"/>
                <w:szCs w:val="28"/>
              </w:rPr>
              <w:t>Comments</w:t>
            </w:r>
          </w:p>
        </w:tc>
      </w:tr>
      <w:tr w:rsidR="00214C57" w:rsidRPr="00EC4C3D" w14:paraId="6C60C13C" w14:textId="77777777" w:rsidTr="00FD77C2">
        <w:tc>
          <w:tcPr>
            <w:tcW w:w="11016" w:type="dxa"/>
            <w:gridSpan w:val="2"/>
            <w:shd w:val="clear" w:color="auto" w:fill="D9D9D9" w:themeFill="background1" w:themeFillShade="D9"/>
          </w:tcPr>
          <w:p w14:paraId="493E0C0A" w14:textId="77777777" w:rsidR="00214C57" w:rsidRPr="00A1469D" w:rsidRDefault="00214C57" w:rsidP="00FD77C2">
            <w:pPr>
              <w:pStyle w:val="Body-BSA-AML"/>
              <w:spacing w:after="0"/>
              <w:rPr>
                <w:b/>
                <w:szCs w:val="24"/>
              </w:rPr>
            </w:pPr>
            <w:r w:rsidRPr="00A1469D">
              <w:rPr>
                <w:szCs w:val="24"/>
              </w:rPr>
              <w:t>Initially, examiners may elect to “map out” the process the bank follows to monitor for, identify, research, and report suspicious activities.  Once the examiner has an understanding of the process, the examiner should follow an alert through the entire process.</w:t>
            </w:r>
          </w:p>
        </w:tc>
      </w:tr>
      <w:tr w:rsidR="00214C57" w:rsidRPr="00EC4C3D" w14:paraId="37334ECA" w14:textId="77777777" w:rsidTr="00FD77C2">
        <w:tc>
          <w:tcPr>
            <w:tcW w:w="11016" w:type="dxa"/>
            <w:gridSpan w:val="2"/>
            <w:shd w:val="clear" w:color="auto" w:fill="auto"/>
          </w:tcPr>
          <w:p w14:paraId="56E20053" w14:textId="77777777" w:rsidR="00214C57" w:rsidRPr="00A1469D" w:rsidRDefault="00214C57" w:rsidP="00FD77C2">
            <w:pPr>
              <w:rPr>
                <w:b/>
                <w:sz w:val="28"/>
                <w:szCs w:val="28"/>
              </w:rPr>
            </w:pPr>
            <w:r w:rsidRPr="00A1469D">
              <w:rPr>
                <w:b/>
                <w:sz w:val="28"/>
                <w:szCs w:val="28"/>
              </w:rPr>
              <w:t>Identification of Unusual Activity</w:t>
            </w:r>
          </w:p>
        </w:tc>
      </w:tr>
      <w:tr w:rsidR="00214C57" w:rsidRPr="00EC4C3D" w14:paraId="71C8931B" w14:textId="77777777" w:rsidTr="00FD77C2">
        <w:tc>
          <w:tcPr>
            <w:tcW w:w="5508" w:type="dxa"/>
            <w:shd w:val="clear" w:color="auto" w:fill="auto"/>
          </w:tcPr>
          <w:p w14:paraId="46625EAB" w14:textId="77777777" w:rsidR="00214C57" w:rsidRPr="00A1469D" w:rsidRDefault="00214C57" w:rsidP="00214C57">
            <w:pPr>
              <w:pStyle w:val="NumberedBSA-AMLList"/>
              <w:numPr>
                <w:ilvl w:val="0"/>
                <w:numId w:val="7"/>
              </w:numPr>
              <w:spacing w:after="0"/>
              <w:rPr>
                <w:sz w:val="22"/>
                <w:szCs w:val="22"/>
              </w:rPr>
            </w:pPr>
            <w:r w:rsidRPr="00A1469D">
              <w:rPr>
                <w:sz w:val="22"/>
                <w:szCs w:val="22"/>
              </w:rPr>
              <w:t>Review the bank’s policies, procedures, and processes for identifying, researching, and reporting suspicious activity.  Determine whether they include the following:</w:t>
            </w:r>
          </w:p>
          <w:p w14:paraId="46D6A44E" w14:textId="77777777" w:rsidR="00214C57" w:rsidRPr="00A1469D" w:rsidRDefault="00214C57" w:rsidP="00214C57">
            <w:pPr>
              <w:pStyle w:val="Bulletlist2ndlevel-BSA-AML"/>
              <w:numPr>
                <w:ilvl w:val="0"/>
                <w:numId w:val="5"/>
              </w:numPr>
              <w:tabs>
                <w:tab w:val="left" w:pos="360"/>
              </w:tabs>
              <w:spacing w:after="0"/>
              <w:rPr>
                <w:sz w:val="22"/>
                <w:szCs w:val="22"/>
              </w:rPr>
            </w:pPr>
            <w:r w:rsidRPr="00A1469D">
              <w:rPr>
                <w:sz w:val="22"/>
                <w:szCs w:val="22"/>
              </w:rPr>
              <w:t>Lines of communication for the referral of unusual activity to appropriate personnel.</w:t>
            </w:r>
          </w:p>
          <w:p w14:paraId="336A2A8A" w14:textId="77777777" w:rsidR="00214C57" w:rsidRPr="00A1469D" w:rsidRDefault="00214C57" w:rsidP="00214C57">
            <w:pPr>
              <w:pStyle w:val="Bulletlist2ndlevel-BSA-AML"/>
              <w:numPr>
                <w:ilvl w:val="0"/>
                <w:numId w:val="5"/>
              </w:numPr>
              <w:tabs>
                <w:tab w:val="left" w:pos="360"/>
              </w:tabs>
              <w:spacing w:after="0"/>
              <w:rPr>
                <w:sz w:val="22"/>
                <w:szCs w:val="22"/>
              </w:rPr>
            </w:pPr>
            <w:r w:rsidRPr="00A1469D">
              <w:rPr>
                <w:sz w:val="22"/>
                <w:szCs w:val="22"/>
              </w:rPr>
              <w:t>Designation of individual(s) responsible for identifying, researching, and reporting suspicious activities.</w:t>
            </w:r>
          </w:p>
          <w:p w14:paraId="0AEEC0AF" w14:textId="77777777" w:rsidR="00214C57" w:rsidRPr="00A1469D" w:rsidRDefault="00214C57" w:rsidP="00214C57">
            <w:pPr>
              <w:pStyle w:val="Bulletlist2ndlevel-BSA-AML"/>
              <w:numPr>
                <w:ilvl w:val="0"/>
                <w:numId w:val="5"/>
              </w:numPr>
              <w:tabs>
                <w:tab w:val="left" w:pos="360"/>
              </w:tabs>
              <w:spacing w:after="0"/>
              <w:rPr>
                <w:sz w:val="22"/>
                <w:szCs w:val="22"/>
              </w:rPr>
            </w:pPr>
            <w:r w:rsidRPr="00A1469D">
              <w:rPr>
                <w:sz w:val="22"/>
                <w:szCs w:val="22"/>
              </w:rPr>
              <w:t>Monitoring systems used to identify unusual activity.</w:t>
            </w:r>
          </w:p>
          <w:p w14:paraId="0462B72B" w14:textId="77777777" w:rsidR="00214C57" w:rsidRPr="00A1469D" w:rsidRDefault="00214C57" w:rsidP="00214C57">
            <w:pPr>
              <w:pStyle w:val="Bulletlist2ndlevel-BSA-AML"/>
              <w:numPr>
                <w:ilvl w:val="0"/>
                <w:numId w:val="5"/>
              </w:numPr>
              <w:tabs>
                <w:tab w:val="left" w:pos="360"/>
              </w:tabs>
              <w:spacing w:after="0"/>
              <w:rPr>
                <w:sz w:val="22"/>
                <w:szCs w:val="22"/>
              </w:rPr>
            </w:pPr>
            <w:r w:rsidRPr="00A1469D">
              <w:rPr>
                <w:sz w:val="22"/>
                <w:szCs w:val="22"/>
              </w:rPr>
              <w:t>Procedures for reviewing and evaluating the transaction activity of subjects included in law enforcement requests (e.g., grand jury subpoenas, section 314(a) requests, or National Security Letters (NSLs)) for suspicious activity.  NSLs are highly confidential documents; as such, examiners will not review or sample specific NSLs.  Instead, examiners should evaluate the policies, procedures, and processes for:</w:t>
            </w:r>
          </w:p>
          <w:p w14:paraId="5A19ABEF" w14:textId="77777777" w:rsidR="00214C57" w:rsidRPr="00A1469D" w:rsidRDefault="00214C57" w:rsidP="00214C57">
            <w:pPr>
              <w:pStyle w:val="Body-BSA-AML"/>
              <w:numPr>
                <w:ilvl w:val="0"/>
                <w:numId w:val="6"/>
              </w:numPr>
              <w:spacing w:after="0"/>
              <w:rPr>
                <w:sz w:val="22"/>
                <w:szCs w:val="22"/>
              </w:rPr>
            </w:pPr>
            <w:r w:rsidRPr="00A1469D">
              <w:rPr>
                <w:sz w:val="22"/>
                <w:szCs w:val="22"/>
              </w:rPr>
              <w:t>Responding to NSLs.</w:t>
            </w:r>
          </w:p>
          <w:p w14:paraId="25E5DC53" w14:textId="77777777" w:rsidR="00214C57" w:rsidRPr="00A1469D" w:rsidRDefault="00214C57" w:rsidP="00214C57">
            <w:pPr>
              <w:pStyle w:val="Body-BSA-AML"/>
              <w:numPr>
                <w:ilvl w:val="0"/>
                <w:numId w:val="6"/>
              </w:numPr>
              <w:spacing w:after="0"/>
              <w:rPr>
                <w:sz w:val="22"/>
                <w:szCs w:val="22"/>
              </w:rPr>
            </w:pPr>
            <w:r w:rsidRPr="00A1469D">
              <w:rPr>
                <w:sz w:val="22"/>
                <w:szCs w:val="22"/>
              </w:rPr>
              <w:t>Evaluating the account of the target for suspicious activity.</w:t>
            </w:r>
          </w:p>
          <w:p w14:paraId="7E421039" w14:textId="77777777" w:rsidR="00214C57" w:rsidRPr="00A1469D" w:rsidRDefault="00214C57" w:rsidP="00214C57">
            <w:pPr>
              <w:pStyle w:val="Body-BSA-AML"/>
              <w:numPr>
                <w:ilvl w:val="0"/>
                <w:numId w:val="6"/>
              </w:numPr>
              <w:spacing w:after="0"/>
              <w:rPr>
                <w:sz w:val="22"/>
                <w:szCs w:val="22"/>
              </w:rPr>
            </w:pPr>
            <w:r w:rsidRPr="00A1469D">
              <w:rPr>
                <w:sz w:val="22"/>
                <w:szCs w:val="22"/>
              </w:rPr>
              <w:t>Filing SARs, if necessary.</w:t>
            </w:r>
          </w:p>
          <w:p w14:paraId="47756420" w14:textId="77777777" w:rsidR="00214C57" w:rsidRPr="00EC4C3D" w:rsidRDefault="00214C57" w:rsidP="00214C57">
            <w:pPr>
              <w:pStyle w:val="Body-BSA-AML"/>
              <w:numPr>
                <w:ilvl w:val="0"/>
                <w:numId w:val="6"/>
              </w:numPr>
              <w:spacing w:after="0"/>
              <w:rPr>
                <w:sz w:val="28"/>
                <w:szCs w:val="28"/>
              </w:rPr>
            </w:pPr>
            <w:r w:rsidRPr="00A1469D">
              <w:rPr>
                <w:sz w:val="22"/>
                <w:szCs w:val="22"/>
              </w:rPr>
              <w:t>Handling account closures.</w:t>
            </w:r>
          </w:p>
        </w:tc>
        <w:tc>
          <w:tcPr>
            <w:tcW w:w="5508" w:type="dxa"/>
            <w:shd w:val="clear" w:color="auto" w:fill="auto"/>
          </w:tcPr>
          <w:p w14:paraId="7D8EFE8E" w14:textId="77777777" w:rsidR="00214C57" w:rsidRPr="00EC4C3D" w:rsidRDefault="00214C57" w:rsidP="00FD77C2">
            <w:pPr>
              <w:rPr>
                <w:sz w:val="28"/>
                <w:szCs w:val="28"/>
              </w:rPr>
            </w:pPr>
          </w:p>
        </w:tc>
      </w:tr>
      <w:tr w:rsidR="00214C57" w:rsidRPr="00EC4C3D" w14:paraId="5A15C298" w14:textId="77777777" w:rsidTr="00FD77C2">
        <w:tc>
          <w:tcPr>
            <w:tcW w:w="5508" w:type="dxa"/>
            <w:shd w:val="clear" w:color="auto" w:fill="auto"/>
          </w:tcPr>
          <w:p w14:paraId="36C06706" w14:textId="77777777" w:rsidR="00214C57" w:rsidRPr="00EC4C3D" w:rsidRDefault="00214C57" w:rsidP="00214C57">
            <w:pPr>
              <w:pStyle w:val="NumberedBSA-AMLList"/>
              <w:numPr>
                <w:ilvl w:val="0"/>
                <w:numId w:val="8"/>
              </w:numPr>
              <w:spacing w:after="0"/>
              <w:rPr>
                <w:sz w:val="22"/>
                <w:szCs w:val="22"/>
              </w:rPr>
            </w:pPr>
            <w:r w:rsidRPr="00EC4C3D">
              <w:rPr>
                <w:sz w:val="22"/>
                <w:szCs w:val="22"/>
              </w:rPr>
              <w:t>Review the bank’s monitoring systems and how the system(s) fits into the bank’s overall suspicious activity monitoring and reporting process.  Complete the appropriate examination procedures that follow.  When evaluating the effectiveness of the bank’s monitoring systems, examiners should consider the bank’s overall risk profile (high</w:t>
            </w:r>
            <w:r>
              <w:rPr>
                <w:sz w:val="22"/>
                <w:szCs w:val="22"/>
              </w:rPr>
              <w:t>er</w:t>
            </w:r>
            <w:r w:rsidRPr="00EC4C3D">
              <w:rPr>
                <w:sz w:val="22"/>
                <w:szCs w:val="22"/>
              </w:rPr>
              <w:t>-risk products, services, customers, entities, and geographic locations), volume of transactions, and adequacy of staffing.</w:t>
            </w:r>
          </w:p>
        </w:tc>
        <w:tc>
          <w:tcPr>
            <w:tcW w:w="5508" w:type="dxa"/>
            <w:shd w:val="clear" w:color="auto" w:fill="auto"/>
          </w:tcPr>
          <w:p w14:paraId="0E3D2088" w14:textId="77777777" w:rsidR="00214C57" w:rsidRPr="00EC4C3D" w:rsidRDefault="00214C57" w:rsidP="00FD77C2">
            <w:pPr>
              <w:rPr>
                <w:sz w:val="28"/>
                <w:szCs w:val="28"/>
              </w:rPr>
            </w:pPr>
          </w:p>
        </w:tc>
      </w:tr>
      <w:tr w:rsidR="00214C57" w:rsidRPr="00EC4C3D" w14:paraId="4A5E1E4F" w14:textId="77777777" w:rsidTr="00FD77C2">
        <w:tc>
          <w:tcPr>
            <w:tcW w:w="11016" w:type="dxa"/>
            <w:gridSpan w:val="2"/>
            <w:shd w:val="clear" w:color="auto" w:fill="auto"/>
          </w:tcPr>
          <w:p w14:paraId="0FD71C1C" w14:textId="77777777" w:rsidR="00214C57" w:rsidRPr="00A1469D" w:rsidRDefault="00214C57" w:rsidP="00FD77C2">
            <w:pPr>
              <w:rPr>
                <w:b/>
                <w:sz w:val="28"/>
                <w:szCs w:val="28"/>
              </w:rPr>
            </w:pPr>
            <w:r w:rsidRPr="00A1469D">
              <w:rPr>
                <w:b/>
                <w:sz w:val="28"/>
                <w:szCs w:val="28"/>
              </w:rPr>
              <w:t>Transaction (Manual Transaction) Monitoring</w:t>
            </w:r>
          </w:p>
        </w:tc>
      </w:tr>
      <w:tr w:rsidR="00214C57" w:rsidRPr="00EC4C3D" w14:paraId="4900361C" w14:textId="77777777" w:rsidTr="00FD77C2">
        <w:tc>
          <w:tcPr>
            <w:tcW w:w="5508" w:type="dxa"/>
            <w:shd w:val="clear" w:color="auto" w:fill="auto"/>
          </w:tcPr>
          <w:p w14:paraId="17BDA920" w14:textId="77777777" w:rsidR="00214C57" w:rsidRPr="00EC4C3D" w:rsidRDefault="00214C57" w:rsidP="00214C57">
            <w:pPr>
              <w:pStyle w:val="NumberedBSA-AMLList"/>
              <w:numPr>
                <w:ilvl w:val="0"/>
                <w:numId w:val="8"/>
              </w:numPr>
              <w:spacing w:after="0"/>
              <w:rPr>
                <w:sz w:val="22"/>
                <w:szCs w:val="22"/>
              </w:rPr>
            </w:pPr>
            <w:r w:rsidRPr="00EC4C3D">
              <w:rPr>
                <w:sz w:val="22"/>
                <w:szCs w:val="22"/>
              </w:rPr>
              <w:t xml:space="preserve">Review the bank’s transaction monitoring reports.  Determine whether the reports capture all areas that </w:t>
            </w:r>
            <w:r w:rsidRPr="00EC4C3D">
              <w:rPr>
                <w:sz w:val="22"/>
                <w:szCs w:val="22"/>
              </w:rPr>
              <w:lastRenderedPageBreak/>
              <w:t xml:space="preserve">pose money laundering and terrorist financing risks.  Examples of these reports include: currency activity reports, funds transfer reports, monetary instrument sales reports, </w:t>
            </w:r>
            <w:r>
              <w:rPr>
                <w:sz w:val="22"/>
                <w:szCs w:val="22"/>
              </w:rPr>
              <w:t xml:space="preserve">ATM transaction reports, </w:t>
            </w:r>
            <w:r w:rsidRPr="00EC4C3D">
              <w:rPr>
                <w:sz w:val="22"/>
                <w:szCs w:val="22"/>
              </w:rPr>
              <w:t>large item reports, significant balance change reports, nonsufficient funds (NSF) reports, and nonresident alien (NRA) reports.</w:t>
            </w:r>
          </w:p>
        </w:tc>
        <w:tc>
          <w:tcPr>
            <w:tcW w:w="5508" w:type="dxa"/>
            <w:shd w:val="clear" w:color="auto" w:fill="auto"/>
          </w:tcPr>
          <w:p w14:paraId="620DDDBB" w14:textId="77777777" w:rsidR="00214C57" w:rsidRPr="00EC4C3D" w:rsidRDefault="00214C57" w:rsidP="00FD77C2">
            <w:pPr>
              <w:rPr>
                <w:sz w:val="28"/>
                <w:szCs w:val="28"/>
              </w:rPr>
            </w:pPr>
          </w:p>
        </w:tc>
      </w:tr>
      <w:tr w:rsidR="00214C57" w:rsidRPr="00EC4C3D" w14:paraId="114A7B90" w14:textId="77777777" w:rsidTr="00FD77C2">
        <w:tc>
          <w:tcPr>
            <w:tcW w:w="5508" w:type="dxa"/>
            <w:shd w:val="clear" w:color="auto" w:fill="auto"/>
          </w:tcPr>
          <w:p w14:paraId="2828AE95" w14:textId="77777777" w:rsidR="00214C57" w:rsidRPr="00EC4C3D" w:rsidRDefault="00214C57" w:rsidP="00214C57">
            <w:pPr>
              <w:pStyle w:val="NumberedBSA-AMLList"/>
              <w:numPr>
                <w:ilvl w:val="0"/>
                <w:numId w:val="8"/>
              </w:numPr>
              <w:spacing w:after="0"/>
              <w:rPr>
                <w:sz w:val="22"/>
                <w:szCs w:val="22"/>
              </w:rPr>
            </w:pPr>
            <w:r w:rsidRPr="00EC4C3D">
              <w:rPr>
                <w:sz w:val="22"/>
                <w:szCs w:val="22"/>
              </w:rPr>
              <w:t xml:space="preserve">Determine whether the bank’s </w:t>
            </w:r>
            <w:r>
              <w:rPr>
                <w:sz w:val="22"/>
                <w:szCs w:val="22"/>
              </w:rPr>
              <w:t xml:space="preserve">transaction </w:t>
            </w:r>
            <w:r w:rsidRPr="00EC4C3D">
              <w:rPr>
                <w:sz w:val="22"/>
                <w:szCs w:val="22"/>
              </w:rPr>
              <w:t>monitoring systems use reasonable filtering criteria whose programming has been independently verified.  Determine whether the monitoring systems generate accurate reports at a reasonable frequency.</w:t>
            </w:r>
          </w:p>
        </w:tc>
        <w:tc>
          <w:tcPr>
            <w:tcW w:w="5508" w:type="dxa"/>
            <w:shd w:val="clear" w:color="auto" w:fill="auto"/>
          </w:tcPr>
          <w:p w14:paraId="3BBE5EE0" w14:textId="77777777" w:rsidR="00214C57" w:rsidRPr="00EC4C3D" w:rsidRDefault="00214C57" w:rsidP="00FD77C2">
            <w:pPr>
              <w:rPr>
                <w:sz w:val="28"/>
                <w:szCs w:val="28"/>
              </w:rPr>
            </w:pPr>
          </w:p>
        </w:tc>
      </w:tr>
      <w:tr w:rsidR="00214C57" w:rsidRPr="00EC4C3D" w14:paraId="6421A1A7" w14:textId="77777777" w:rsidTr="00FD77C2">
        <w:tc>
          <w:tcPr>
            <w:tcW w:w="11016" w:type="dxa"/>
            <w:gridSpan w:val="2"/>
            <w:shd w:val="clear" w:color="auto" w:fill="auto"/>
          </w:tcPr>
          <w:p w14:paraId="71730206" w14:textId="77777777" w:rsidR="00214C57" w:rsidRPr="00A1469D" w:rsidRDefault="00214C57" w:rsidP="00FD77C2">
            <w:pPr>
              <w:rPr>
                <w:b/>
                <w:sz w:val="28"/>
                <w:szCs w:val="28"/>
              </w:rPr>
            </w:pPr>
            <w:r>
              <w:rPr>
                <w:b/>
                <w:sz w:val="28"/>
                <w:szCs w:val="28"/>
              </w:rPr>
              <w:t>Surveillance (</w:t>
            </w:r>
            <w:r w:rsidRPr="00A1469D">
              <w:rPr>
                <w:b/>
                <w:sz w:val="28"/>
                <w:szCs w:val="28"/>
              </w:rPr>
              <w:t>Automated Accounting</w:t>
            </w:r>
            <w:r>
              <w:rPr>
                <w:b/>
                <w:sz w:val="28"/>
                <w:szCs w:val="28"/>
              </w:rPr>
              <w:t>)</w:t>
            </w:r>
            <w:r w:rsidRPr="00A1469D">
              <w:rPr>
                <w:b/>
                <w:sz w:val="28"/>
                <w:szCs w:val="28"/>
              </w:rPr>
              <w:t xml:space="preserve"> Monitoring</w:t>
            </w:r>
          </w:p>
        </w:tc>
      </w:tr>
      <w:tr w:rsidR="00214C57" w:rsidRPr="00EC4C3D" w14:paraId="10F9411D" w14:textId="77777777" w:rsidTr="00FD77C2">
        <w:tc>
          <w:tcPr>
            <w:tcW w:w="5508" w:type="dxa"/>
            <w:shd w:val="clear" w:color="auto" w:fill="auto"/>
          </w:tcPr>
          <w:p w14:paraId="79437F12" w14:textId="77777777" w:rsidR="00214C57" w:rsidRPr="00EC4C3D" w:rsidRDefault="00214C57" w:rsidP="00214C57">
            <w:pPr>
              <w:pStyle w:val="NumberedBSA-AMLList"/>
              <w:numPr>
                <w:ilvl w:val="0"/>
                <w:numId w:val="8"/>
              </w:numPr>
              <w:spacing w:after="0"/>
              <w:rPr>
                <w:sz w:val="22"/>
                <w:szCs w:val="22"/>
              </w:rPr>
            </w:pPr>
            <w:r w:rsidRPr="00EC4C3D">
              <w:rPr>
                <w:sz w:val="22"/>
                <w:szCs w:val="22"/>
              </w:rPr>
              <w:t xml:space="preserve">Identify the types of customers, products, and services that are included within the </w:t>
            </w:r>
            <w:r>
              <w:rPr>
                <w:sz w:val="22"/>
                <w:szCs w:val="22"/>
              </w:rPr>
              <w:t xml:space="preserve">surveillance </w:t>
            </w:r>
            <w:r w:rsidRPr="00EC4C3D">
              <w:rPr>
                <w:sz w:val="22"/>
                <w:szCs w:val="22"/>
              </w:rPr>
              <w:t>monitoring system.</w:t>
            </w:r>
          </w:p>
        </w:tc>
        <w:tc>
          <w:tcPr>
            <w:tcW w:w="5508" w:type="dxa"/>
            <w:shd w:val="clear" w:color="auto" w:fill="auto"/>
          </w:tcPr>
          <w:p w14:paraId="2D6EDBF6" w14:textId="77777777" w:rsidR="00214C57" w:rsidRPr="00EC4C3D" w:rsidRDefault="00214C57" w:rsidP="00FD77C2">
            <w:pPr>
              <w:rPr>
                <w:sz w:val="28"/>
                <w:szCs w:val="28"/>
              </w:rPr>
            </w:pPr>
          </w:p>
        </w:tc>
      </w:tr>
      <w:tr w:rsidR="00214C57" w:rsidRPr="00EC4C3D" w14:paraId="634EB4D8" w14:textId="77777777" w:rsidTr="00FD77C2">
        <w:tc>
          <w:tcPr>
            <w:tcW w:w="5508" w:type="dxa"/>
            <w:shd w:val="clear" w:color="auto" w:fill="auto"/>
          </w:tcPr>
          <w:p w14:paraId="4543B9B8" w14:textId="77777777" w:rsidR="00214C57" w:rsidRPr="00EC4C3D" w:rsidRDefault="00214C57" w:rsidP="00214C57">
            <w:pPr>
              <w:pStyle w:val="NumberedBSA-AMLList"/>
              <w:numPr>
                <w:ilvl w:val="0"/>
                <w:numId w:val="8"/>
              </w:numPr>
              <w:spacing w:after="0"/>
              <w:rPr>
                <w:sz w:val="22"/>
                <w:szCs w:val="22"/>
              </w:rPr>
            </w:pPr>
            <w:r w:rsidRPr="00EC4C3D">
              <w:rPr>
                <w:sz w:val="22"/>
                <w:szCs w:val="22"/>
              </w:rPr>
              <w:t>Identify the system’s methodology for establishing and applying expected activity or profile filtering criteria and for generating monitoring reports.  Determine whether the system’s filtering criteria are reasonable.</w:t>
            </w:r>
          </w:p>
        </w:tc>
        <w:tc>
          <w:tcPr>
            <w:tcW w:w="5508" w:type="dxa"/>
            <w:shd w:val="clear" w:color="auto" w:fill="auto"/>
          </w:tcPr>
          <w:p w14:paraId="5238ACEC" w14:textId="77777777" w:rsidR="00214C57" w:rsidRPr="00EC4C3D" w:rsidRDefault="00214C57" w:rsidP="00FD77C2">
            <w:pPr>
              <w:rPr>
                <w:sz w:val="28"/>
                <w:szCs w:val="28"/>
              </w:rPr>
            </w:pPr>
          </w:p>
        </w:tc>
      </w:tr>
      <w:tr w:rsidR="00214C57" w:rsidRPr="00EC4C3D" w14:paraId="613BE8EB" w14:textId="77777777" w:rsidTr="00FD77C2">
        <w:tc>
          <w:tcPr>
            <w:tcW w:w="5508" w:type="dxa"/>
            <w:shd w:val="clear" w:color="auto" w:fill="auto"/>
          </w:tcPr>
          <w:p w14:paraId="5D7CBDE0" w14:textId="77777777" w:rsidR="00214C57" w:rsidRPr="00EC4C3D" w:rsidRDefault="00214C57" w:rsidP="00214C57">
            <w:pPr>
              <w:pStyle w:val="NumberedBSA-AMLList"/>
              <w:numPr>
                <w:ilvl w:val="0"/>
                <w:numId w:val="8"/>
              </w:numPr>
              <w:spacing w:after="0"/>
              <w:rPr>
                <w:sz w:val="22"/>
                <w:szCs w:val="22"/>
              </w:rPr>
            </w:pPr>
            <w:r w:rsidRPr="00EC4C3D">
              <w:rPr>
                <w:sz w:val="22"/>
                <w:szCs w:val="22"/>
              </w:rPr>
              <w:t>Determine whether the programming of the methodology has been independently validated.</w:t>
            </w:r>
          </w:p>
        </w:tc>
        <w:tc>
          <w:tcPr>
            <w:tcW w:w="5508" w:type="dxa"/>
            <w:shd w:val="clear" w:color="auto" w:fill="auto"/>
          </w:tcPr>
          <w:p w14:paraId="158D1A70" w14:textId="77777777" w:rsidR="00214C57" w:rsidRPr="00EC4C3D" w:rsidRDefault="00214C57" w:rsidP="00FD77C2">
            <w:pPr>
              <w:rPr>
                <w:sz w:val="28"/>
                <w:szCs w:val="28"/>
              </w:rPr>
            </w:pPr>
          </w:p>
        </w:tc>
      </w:tr>
      <w:tr w:rsidR="00214C57" w:rsidRPr="00EC4C3D" w14:paraId="6C29C439" w14:textId="77777777" w:rsidTr="00FD77C2">
        <w:tc>
          <w:tcPr>
            <w:tcW w:w="5508" w:type="dxa"/>
            <w:shd w:val="clear" w:color="auto" w:fill="auto"/>
          </w:tcPr>
          <w:p w14:paraId="52635BFB" w14:textId="77777777" w:rsidR="00214C57" w:rsidRPr="00EC4C3D" w:rsidRDefault="00214C57" w:rsidP="00214C57">
            <w:pPr>
              <w:pStyle w:val="NumberedBSA-AMLList"/>
              <w:numPr>
                <w:ilvl w:val="0"/>
                <w:numId w:val="8"/>
              </w:numPr>
              <w:spacing w:after="0"/>
              <w:rPr>
                <w:sz w:val="22"/>
                <w:szCs w:val="22"/>
              </w:rPr>
            </w:pPr>
            <w:r w:rsidRPr="00EC4C3D">
              <w:rPr>
                <w:sz w:val="22"/>
                <w:szCs w:val="22"/>
              </w:rPr>
              <w:t>Determine that controls ensure limited access to the monitoring system and sufficient oversight of assumption changes.</w:t>
            </w:r>
          </w:p>
        </w:tc>
        <w:tc>
          <w:tcPr>
            <w:tcW w:w="5508" w:type="dxa"/>
            <w:shd w:val="clear" w:color="auto" w:fill="auto"/>
          </w:tcPr>
          <w:p w14:paraId="48CC9981" w14:textId="77777777" w:rsidR="00214C57" w:rsidRPr="00EC4C3D" w:rsidRDefault="00214C57" w:rsidP="00FD77C2">
            <w:pPr>
              <w:rPr>
                <w:sz w:val="28"/>
                <w:szCs w:val="28"/>
              </w:rPr>
            </w:pPr>
          </w:p>
        </w:tc>
      </w:tr>
      <w:tr w:rsidR="00214C57" w:rsidRPr="00EC4C3D" w14:paraId="2353FE83" w14:textId="77777777" w:rsidTr="00FD77C2">
        <w:tc>
          <w:tcPr>
            <w:tcW w:w="11016" w:type="dxa"/>
            <w:gridSpan w:val="2"/>
            <w:shd w:val="clear" w:color="auto" w:fill="auto"/>
          </w:tcPr>
          <w:p w14:paraId="1959C129" w14:textId="77777777" w:rsidR="00214C57" w:rsidRPr="00EC4C3D" w:rsidRDefault="00214C57" w:rsidP="00FD77C2">
            <w:pPr>
              <w:rPr>
                <w:b/>
                <w:sz w:val="28"/>
                <w:szCs w:val="28"/>
              </w:rPr>
            </w:pPr>
            <w:r>
              <w:rPr>
                <w:b/>
                <w:sz w:val="28"/>
                <w:szCs w:val="28"/>
              </w:rPr>
              <w:t>Managing Alerts</w:t>
            </w:r>
          </w:p>
        </w:tc>
      </w:tr>
      <w:tr w:rsidR="00214C57" w:rsidRPr="00EC4C3D" w14:paraId="622E7731" w14:textId="77777777" w:rsidTr="00FD77C2">
        <w:tc>
          <w:tcPr>
            <w:tcW w:w="5508" w:type="dxa"/>
            <w:shd w:val="clear" w:color="auto" w:fill="auto"/>
          </w:tcPr>
          <w:p w14:paraId="6857BF67" w14:textId="77777777" w:rsidR="00214C57" w:rsidRPr="003A2FC9" w:rsidRDefault="00214C57" w:rsidP="00214C57">
            <w:pPr>
              <w:pStyle w:val="NumberedBSA-AMLList"/>
              <w:numPr>
                <w:ilvl w:val="0"/>
                <w:numId w:val="8"/>
              </w:numPr>
              <w:spacing w:after="0"/>
              <w:rPr>
                <w:sz w:val="22"/>
                <w:szCs w:val="22"/>
              </w:rPr>
            </w:pPr>
            <w:r w:rsidRPr="003A2FC9">
              <w:rPr>
                <w:sz w:val="22"/>
                <w:szCs w:val="22"/>
              </w:rPr>
              <w:t xml:space="preserve">Determine whether the bank has policies, procedures, and processes to ensure the timely generation of, review of, and response to reports used to identify unusual activities.  </w:t>
            </w:r>
          </w:p>
        </w:tc>
        <w:tc>
          <w:tcPr>
            <w:tcW w:w="5508" w:type="dxa"/>
            <w:shd w:val="clear" w:color="auto" w:fill="auto"/>
          </w:tcPr>
          <w:p w14:paraId="0956CE21" w14:textId="77777777" w:rsidR="00214C57" w:rsidRPr="00EC4C3D" w:rsidRDefault="00214C57" w:rsidP="00FD77C2">
            <w:pPr>
              <w:rPr>
                <w:sz w:val="28"/>
                <w:szCs w:val="28"/>
              </w:rPr>
            </w:pPr>
          </w:p>
        </w:tc>
      </w:tr>
      <w:tr w:rsidR="00214C57" w:rsidRPr="00EC4C3D" w14:paraId="2CA1C15E" w14:textId="77777777" w:rsidTr="00FD77C2">
        <w:tc>
          <w:tcPr>
            <w:tcW w:w="5508" w:type="dxa"/>
            <w:shd w:val="clear" w:color="auto" w:fill="auto"/>
          </w:tcPr>
          <w:p w14:paraId="2B9F7D47" w14:textId="77777777" w:rsidR="00214C57" w:rsidRPr="003A2FC9" w:rsidRDefault="00214C57" w:rsidP="00214C57">
            <w:pPr>
              <w:pStyle w:val="NumberedBSA-AMLList"/>
              <w:numPr>
                <w:ilvl w:val="0"/>
                <w:numId w:val="8"/>
              </w:numPr>
              <w:spacing w:after="0"/>
              <w:rPr>
                <w:sz w:val="22"/>
                <w:szCs w:val="22"/>
              </w:rPr>
            </w:pPr>
            <w:r w:rsidRPr="003A2FC9">
              <w:rPr>
                <w:sz w:val="22"/>
                <w:szCs w:val="22"/>
              </w:rPr>
              <w:t>Determine whether policies, procedures, and processes require appropriate research when monitoring reports identify unusual activity.</w:t>
            </w:r>
          </w:p>
        </w:tc>
        <w:tc>
          <w:tcPr>
            <w:tcW w:w="5508" w:type="dxa"/>
            <w:shd w:val="clear" w:color="auto" w:fill="auto"/>
          </w:tcPr>
          <w:p w14:paraId="2095C48B" w14:textId="77777777" w:rsidR="00214C57" w:rsidRPr="00EC4C3D" w:rsidRDefault="00214C57" w:rsidP="00FD77C2">
            <w:pPr>
              <w:rPr>
                <w:sz w:val="28"/>
                <w:szCs w:val="28"/>
              </w:rPr>
            </w:pPr>
          </w:p>
        </w:tc>
      </w:tr>
      <w:tr w:rsidR="00214C57" w:rsidRPr="00EC4C3D" w14:paraId="17E1FE11" w14:textId="77777777" w:rsidTr="00FD77C2">
        <w:tc>
          <w:tcPr>
            <w:tcW w:w="5508" w:type="dxa"/>
            <w:shd w:val="clear" w:color="auto" w:fill="auto"/>
          </w:tcPr>
          <w:p w14:paraId="548407D1" w14:textId="77777777" w:rsidR="00214C57" w:rsidRPr="00EC4C3D" w:rsidRDefault="00214C57" w:rsidP="00214C57">
            <w:pPr>
              <w:pStyle w:val="NumberedBSA-AMLList"/>
              <w:numPr>
                <w:ilvl w:val="0"/>
                <w:numId w:val="8"/>
              </w:numPr>
              <w:spacing w:after="0"/>
              <w:rPr>
                <w:sz w:val="22"/>
                <w:szCs w:val="22"/>
              </w:rPr>
            </w:pPr>
            <w:r w:rsidRPr="00EC4C3D">
              <w:rPr>
                <w:sz w:val="22"/>
                <w:szCs w:val="22"/>
              </w:rPr>
              <w:t>Evaluate the bank’s policies, procedures, and processes for referring unusual activity from all business lines to the personnel or department responsible for evaluating unusual activity.  The process should ensure that all applicable information (e.g., criminal subpoenas, NSLs, and section 314(a) requests) is effectively evaluated.</w:t>
            </w:r>
          </w:p>
        </w:tc>
        <w:tc>
          <w:tcPr>
            <w:tcW w:w="5508" w:type="dxa"/>
            <w:shd w:val="clear" w:color="auto" w:fill="auto"/>
          </w:tcPr>
          <w:p w14:paraId="682CC081" w14:textId="77777777" w:rsidR="00214C57" w:rsidRPr="00EC4C3D" w:rsidRDefault="00214C57" w:rsidP="00FD77C2">
            <w:pPr>
              <w:rPr>
                <w:sz w:val="28"/>
                <w:szCs w:val="28"/>
              </w:rPr>
            </w:pPr>
          </w:p>
        </w:tc>
      </w:tr>
      <w:tr w:rsidR="00214C57" w:rsidRPr="00EC4C3D" w14:paraId="228BBEAF" w14:textId="77777777" w:rsidTr="00FD77C2">
        <w:tc>
          <w:tcPr>
            <w:tcW w:w="5508" w:type="dxa"/>
            <w:shd w:val="clear" w:color="auto" w:fill="auto"/>
          </w:tcPr>
          <w:p w14:paraId="53DC868D" w14:textId="77777777" w:rsidR="00214C57" w:rsidRPr="00EC4C3D" w:rsidRDefault="00214C57" w:rsidP="00214C57">
            <w:pPr>
              <w:pStyle w:val="NumberedBSA-AMLList"/>
              <w:numPr>
                <w:ilvl w:val="0"/>
                <w:numId w:val="8"/>
              </w:numPr>
              <w:spacing w:after="0"/>
              <w:rPr>
                <w:sz w:val="22"/>
                <w:szCs w:val="22"/>
              </w:rPr>
            </w:pPr>
            <w:r w:rsidRPr="003A2FC9">
              <w:rPr>
                <w:sz w:val="22"/>
                <w:szCs w:val="22"/>
              </w:rPr>
              <w:t>Verify that staffing levels are sufficient to review reports and alerts and investigate items, and that staff possess the requisite experience level and proper investigatory tools.  The volume of system alerts and investigations should not be tailored solely to meet existing staffing levels.</w:t>
            </w:r>
          </w:p>
        </w:tc>
        <w:tc>
          <w:tcPr>
            <w:tcW w:w="5508" w:type="dxa"/>
            <w:shd w:val="clear" w:color="auto" w:fill="auto"/>
          </w:tcPr>
          <w:p w14:paraId="4E22A7CA" w14:textId="77777777" w:rsidR="00214C57" w:rsidRPr="00EC4C3D" w:rsidRDefault="00214C57" w:rsidP="00FD77C2">
            <w:pPr>
              <w:rPr>
                <w:sz w:val="28"/>
                <w:szCs w:val="28"/>
              </w:rPr>
            </w:pPr>
          </w:p>
        </w:tc>
      </w:tr>
      <w:tr w:rsidR="00214C57" w:rsidRPr="00EC4C3D" w14:paraId="15F7777E" w14:textId="77777777" w:rsidTr="00FD77C2">
        <w:tc>
          <w:tcPr>
            <w:tcW w:w="5508" w:type="dxa"/>
            <w:shd w:val="clear" w:color="auto" w:fill="auto"/>
          </w:tcPr>
          <w:p w14:paraId="661F124B" w14:textId="77777777" w:rsidR="00214C57" w:rsidRPr="00EC4C3D" w:rsidRDefault="00214C57" w:rsidP="00214C57">
            <w:pPr>
              <w:pStyle w:val="NumberedBSA-AMLList"/>
              <w:numPr>
                <w:ilvl w:val="0"/>
                <w:numId w:val="8"/>
              </w:numPr>
              <w:spacing w:after="0"/>
              <w:rPr>
                <w:sz w:val="22"/>
                <w:szCs w:val="22"/>
              </w:rPr>
            </w:pPr>
            <w:r w:rsidRPr="00EC4C3D">
              <w:rPr>
                <w:sz w:val="22"/>
                <w:szCs w:val="22"/>
              </w:rPr>
              <w:t>Determine whether the bank’s SAR decision process appropriately considers all available CDD</w:t>
            </w:r>
            <w:r>
              <w:rPr>
                <w:sz w:val="22"/>
                <w:szCs w:val="22"/>
              </w:rPr>
              <w:t xml:space="preserve"> and EDD</w:t>
            </w:r>
            <w:r w:rsidRPr="00EC4C3D">
              <w:rPr>
                <w:sz w:val="22"/>
                <w:szCs w:val="22"/>
              </w:rPr>
              <w:t xml:space="preserve"> information.</w:t>
            </w:r>
          </w:p>
        </w:tc>
        <w:tc>
          <w:tcPr>
            <w:tcW w:w="5508" w:type="dxa"/>
            <w:shd w:val="clear" w:color="auto" w:fill="auto"/>
          </w:tcPr>
          <w:p w14:paraId="510DB577" w14:textId="77777777" w:rsidR="00214C57" w:rsidRPr="00EC4C3D" w:rsidRDefault="00214C57" w:rsidP="00FD77C2">
            <w:pPr>
              <w:rPr>
                <w:sz w:val="28"/>
                <w:szCs w:val="28"/>
              </w:rPr>
            </w:pPr>
          </w:p>
        </w:tc>
      </w:tr>
      <w:tr w:rsidR="00214C57" w:rsidRPr="00EC4C3D" w14:paraId="5F81C82E" w14:textId="77777777" w:rsidTr="00FD77C2">
        <w:tc>
          <w:tcPr>
            <w:tcW w:w="11016" w:type="dxa"/>
            <w:gridSpan w:val="2"/>
            <w:shd w:val="clear" w:color="auto" w:fill="auto"/>
          </w:tcPr>
          <w:p w14:paraId="51AFC768" w14:textId="77777777" w:rsidR="00214C57" w:rsidRPr="003A2FC9" w:rsidRDefault="00214C57" w:rsidP="00FD77C2">
            <w:pPr>
              <w:rPr>
                <w:b/>
                <w:sz w:val="28"/>
                <w:szCs w:val="28"/>
              </w:rPr>
            </w:pPr>
            <w:r w:rsidRPr="003A2FC9">
              <w:rPr>
                <w:b/>
                <w:sz w:val="28"/>
                <w:szCs w:val="28"/>
              </w:rPr>
              <w:t>SAR Decision Making</w:t>
            </w:r>
          </w:p>
        </w:tc>
      </w:tr>
      <w:tr w:rsidR="00214C57" w:rsidRPr="00EC4C3D" w14:paraId="15664DBC" w14:textId="77777777" w:rsidTr="00FD77C2">
        <w:tc>
          <w:tcPr>
            <w:tcW w:w="5508" w:type="dxa"/>
            <w:shd w:val="clear" w:color="auto" w:fill="auto"/>
          </w:tcPr>
          <w:p w14:paraId="10E98007" w14:textId="77777777" w:rsidR="00214C57" w:rsidRPr="003A2FC9" w:rsidRDefault="00214C57" w:rsidP="00214C57">
            <w:pPr>
              <w:pStyle w:val="Body-BSA-AML"/>
              <w:numPr>
                <w:ilvl w:val="0"/>
                <w:numId w:val="8"/>
              </w:numPr>
              <w:spacing w:after="0"/>
              <w:rPr>
                <w:sz w:val="22"/>
                <w:szCs w:val="22"/>
              </w:rPr>
            </w:pPr>
            <w:r w:rsidRPr="003A2FC9">
              <w:rPr>
                <w:sz w:val="22"/>
                <w:szCs w:val="22"/>
              </w:rPr>
              <w:lastRenderedPageBreak/>
              <w:t xml:space="preserve">Determine whether the bank’s policies, procedures, and processes include procedures for: </w:t>
            </w:r>
          </w:p>
          <w:p w14:paraId="68E154EC" w14:textId="77777777" w:rsidR="00214C57" w:rsidRPr="003A2FC9" w:rsidRDefault="00214C57" w:rsidP="00214C57">
            <w:pPr>
              <w:pStyle w:val="Body-BSA-AML"/>
              <w:numPr>
                <w:ilvl w:val="0"/>
                <w:numId w:val="9"/>
              </w:numPr>
              <w:spacing w:after="0"/>
              <w:rPr>
                <w:sz w:val="22"/>
                <w:szCs w:val="22"/>
              </w:rPr>
            </w:pPr>
            <w:r w:rsidRPr="003A2FC9">
              <w:rPr>
                <w:sz w:val="22"/>
                <w:szCs w:val="22"/>
              </w:rPr>
              <w:t>Documenting decisions not to file a SAR.</w:t>
            </w:r>
          </w:p>
          <w:p w14:paraId="2783CD68" w14:textId="77777777" w:rsidR="00214C57" w:rsidRPr="003A2FC9" w:rsidRDefault="00214C57" w:rsidP="00214C57">
            <w:pPr>
              <w:pStyle w:val="Body-BSA-AML"/>
              <w:numPr>
                <w:ilvl w:val="0"/>
                <w:numId w:val="9"/>
              </w:numPr>
              <w:spacing w:after="0"/>
              <w:rPr>
                <w:sz w:val="22"/>
                <w:szCs w:val="22"/>
              </w:rPr>
            </w:pPr>
            <w:r w:rsidRPr="003A2FC9">
              <w:rPr>
                <w:sz w:val="22"/>
                <w:szCs w:val="22"/>
              </w:rPr>
              <w:t>Escalating issues identified as the result of repeat SAR filings on accounts.</w:t>
            </w:r>
          </w:p>
          <w:p w14:paraId="066BE94C" w14:textId="77777777" w:rsidR="00214C57" w:rsidRPr="00EC4C3D" w:rsidRDefault="00214C57" w:rsidP="00214C57">
            <w:pPr>
              <w:pStyle w:val="Body-BSA-AML"/>
              <w:numPr>
                <w:ilvl w:val="0"/>
                <w:numId w:val="9"/>
              </w:numPr>
              <w:spacing w:after="0"/>
              <w:rPr>
                <w:sz w:val="22"/>
                <w:szCs w:val="22"/>
              </w:rPr>
            </w:pPr>
            <w:r w:rsidRPr="003A2FC9">
              <w:rPr>
                <w:sz w:val="22"/>
                <w:szCs w:val="22"/>
              </w:rPr>
              <w:t>Considering closing accounts as a result of continuous suspicious activity.</w:t>
            </w:r>
          </w:p>
        </w:tc>
        <w:tc>
          <w:tcPr>
            <w:tcW w:w="5508" w:type="dxa"/>
            <w:shd w:val="clear" w:color="auto" w:fill="auto"/>
          </w:tcPr>
          <w:p w14:paraId="74E1CC44" w14:textId="77777777" w:rsidR="00214C57" w:rsidRPr="00EC4C3D" w:rsidRDefault="00214C57" w:rsidP="00FD77C2">
            <w:pPr>
              <w:rPr>
                <w:sz w:val="28"/>
                <w:szCs w:val="28"/>
              </w:rPr>
            </w:pPr>
          </w:p>
        </w:tc>
      </w:tr>
      <w:tr w:rsidR="00214C57" w:rsidRPr="00EC4C3D" w14:paraId="50128391" w14:textId="77777777" w:rsidTr="00FD77C2">
        <w:tc>
          <w:tcPr>
            <w:tcW w:w="11016" w:type="dxa"/>
            <w:gridSpan w:val="2"/>
            <w:shd w:val="clear" w:color="auto" w:fill="auto"/>
          </w:tcPr>
          <w:p w14:paraId="10C0D0AF" w14:textId="77777777" w:rsidR="00214C57" w:rsidRPr="00EC4C3D" w:rsidRDefault="00214C57" w:rsidP="00FD77C2">
            <w:pPr>
              <w:rPr>
                <w:b/>
                <w:sz w:val="28"/>
                <w:szCs w:val="28"/>
              </w:rPr>
            </w:pPr>
            <w:r>
              <w:rPr>
                <w:b/>
                <w:sz w:val="28"/>
                <w:szCs w:val="28"/>
              </w:rPr>
              <w:t>SAR Completion and Filing</w:t>
            </w:r>
          </w:p>
        </w:tc>
      </w:tr>
      <w:tr w:rsidR="00214C57" w:rsidRPr="00EC4C3D" w14:paraId="2B0A1BF4" w14:textId="77777777" w:rsidTr="00FD77C2">
        <w:tc>
          <w:tcPr>
            <w:tcW w:w="5508" w:type="dxa"/>
            <w:shd w:val="clear" w:color="auto" w:fill="auto"/>
          </w:tcPr>
          <w:p w14:paraId="714E4224" w14:textId="77777777" w:rsidR="00214C57" w:rsidRPr="003A2FC9" w:rsidRDefault="00214C57" w:rsidP="00FD77C2">
            <w:pPr>
              <w:pStyle w:val="Body-BSA-AML"/>
              <w:spacing w:after="0"/>
              <w:ind w:left="360" w:hanging="360"/>
              <w:rPr>
                <w:sz w:val="22"/>
                <w:szCs w:val="22"/>
              </w:rPr>
            </w:pPr>
            <w:r w:rsidRPr="00730541">
              <w:t>1</w:t>
            </w:r>
            <w:r>
              <w:t>5</w:t>
            </w:r>
            <w:r w:rsidRPr="00730541">
              <w:t>.</w:t>
            </w:r>
            <w:r w:rsidRPr="00730541">
              <w:tab/>
            </w:r>
            <w:r w:rsidRPr="003A2FC9">
              <w:rPr>
                <w:sz w:val="22"/>
                <w:szCs w:val="22"/>
              </w:rPr>
              <w:t>Determine whether the bank’s policies, procedures, and processes provide for:</w:t>
            </w:r>
          </w:p>
          <w:p w14:paraId="624C5191" w14:textId="77777777" w:rsidR="00214C57" w:rsidRPr="003A2FC9" w:rsidRDefault="00214C57" w:rsidP="00214C57">
            <w:pPr>
              <w:pStyle w:val="Body-BSA-AML"/>
              <w:numPr>
                <w:ilvl w:val="0"/>
                <w:numId w:val="10"/>
              </w:numPr>
              <w:spacing w:after="0"/>
              <w:rPr>
                <w:sz w:val="22"/>
                <w:szCs w:val="22"/>
              </w:rPr>
            </w:pPr>
            <w:r w:rsidRPr="003A2FC9">
              <w:rPr>
                <w:sz w:val="22"/>
                <w:szCs w:val="22"/>
              </w:rPr>
              <w:t xml:space="preserve">Completing, filing, and retaining SARs and their supporting documentation.  </w:t>
            </w:r>
          </w:p>
          <w:p w14:paraId="24E2167F" w14:textId="77777777" w:rsidR="00214C57" w:rsidRPr="003A2FC9" w:rsidRDefault="00214C57" w:rsidP="00214C57">
            <w:pPr>
              <w:pStyle w:val="Body-BSA-AML"/>
              <w:numPr>
                <w:ilvl w:val="0"/>
                <w:numId w:val="10"/>
              </w:numPr>
              <w:spacing w:after="0"/>
              <w:rPr>
                <w:sz w:val="22"/>
                <w:szCs w:val="22"/>
              </w:rPr>
            </w:pPr>
            <w:r w:rsidRPr="003A2FC9">
              <w:rPr>
                <w:sz w:val="22"/>
                <w:szCs w:val="22"/>
              </w:rPr>
              <w:t xml:space="preserve">Reporting SARs to the board of directors, or a committee thereof, and informing senior management.  </w:t>
            </w:r>
          </w:p>
          <w:p w14:paraId="1085D26B" w14:textId="77777777" w:rsidR="00214C57" w:rsidRPr="003A2FC9" w:rsidRDefault="00214C57" w:rsidP="00214C57">
            <w:pPr>
              <w:pStyle w:val="Body-BSA-AML"/>
              <w:numPr>
                <w:ilvl w:val="0"/>
                <w:numId w:val="10"/>
              </w:numPr>
              <w:spacing w:after="0"/>
              <w:rPr>
                <w:sz w:val="22"/>
                <w:szCs w:val="22"/>
              </w:rPr>
            </w:pPr>
            <w:r w:rsidRPr="003A2FC9">
              <w:rPr>
                <w:sz w:val="22"/>
                <w:szCs w:val="22"/>
              </w:rPr>
              <w:t>Sharing SARs with head offices and controlling companies, as necessary</w:t>
            </w:r>
            <w:r>
              <w:rPr>
                <w:sz w:val="22"/>
                <w:szCs w:val="22"/>
              </w:rPr>
              <w:t>.</w:t>
            </w:r>
          </w:p>
        </w:tc>
        <w:tc>
          <w:tcPr>
            <w:tcW w:w="5508" w:type="dxa"/>
            <w:shd w:val="clear" w:color="auto" w:fill="auto"/>
          </w:tcPr>
          <w:p w14:paraId="78E602E6" w14:textId="77777777" w:rsidR="00214C57" w:rsidRPr="00EC4C3D" w:rsidRDefault="00214C57" w:rsidP="00FD77C2">
            <w:pPr>
              <w:rPr>
                <w:sz w:val="28"/>
                <w:szCs w:val="28"/>
              </w:rPr>
            </w:pPr>
          </w:p>
        </w:tc>
      </w:tr>
      <w:tr w:rsidR="00214C57" w:rsidRPr="00EC4C3D" w14:paraId="37457A03" w14:textId="77777777" w:rsidTr="00FD77C2">
        <w:tc>
          <w:tcPr>
            <w:tcW w:w="11016" w:type="dxa"/>
            <w:gridSpan w:val="2"/>
            <w:shd w:val="clear" w:color="auto" w:fill="auto"/>
          </w:tcPr>
          <w:p w14:paraId="3DDF36C8" w14:textId="77777777" w:rsidR="00214C57" w:rsidRPr="00EC4C3D" w:rsidRDefault="00214C57" w:rsidP="00FD77C2">
            <w:pPr>
              <w:rPr>
                <w:b/>
                <w:sz w:val="28"/>
                <w:szCs w:val="28"/>
              </w:rPr>
            </w:pPr>
            <w:r w:rsidRPr="00EC4C3D">
              <w:rPr>
                <w:b/>
                <w:sz w:val="28"/>
                <w:szCs w:val="28"/>
              </w:rPr>
              <w:t>Transaction Testing</w:t>
            </w:r>
          </w:p>
        </w:tc>
      </w:tr>
      <w:tr w:rsidR="00214C57" w:rsidRPr="0061577F" w14:paraId="0994B7E9" w14:textId="77777777" w:rsidTr="00FD77C2">
        <w:tc>
          <w:tcPr>
            <w:tcW w:w="11016" w:type="dxa"/>
            <w:gridSpan w:val="2"/>
            <w:shd w:val="clear" w:color="auto" w:fill="D9D9D9" w:themeFill="background1" w:themeFillShade="D9"/>
          </w:tcPr>
          <w:p w14:paraId="7F669961" w14:textId="77777777" w:rsidR="00214C57" w:rsidRPr="0061577F" w:rsidRDefault="00214C57" w:rsidP="00FD77C2">
            <w:pPr>
              <w:pStyle w:val="Bodyindent-BSA-AML"/>
              <w:spacing w:after="0"/>
              <w:ind w:left="0"/>
              <w:rPr>
                <w:szCs w:val="24"/>
              </w:rPr>
            </w:pPr>
            <w:r w:rsidRPr="0061577F">
              <w:rPr>
                <w:szCs w:val="24"/>
              </w:rPr>
              <w:t>Transaction testing of suspicious activity monitoring systems and reporting processes is intended to determine whether the bank’s policies, procedures, and processes are adequate and effectively implemented.  Examiners should document the factors they used to select samples and should maintain a list of the accounts sampled.</w:t>
            </w:r>
            <w:r w:rsidRPr="0061577F">
              <w:rPr>
                <w:i/>
                <w:szCs w:val="24"/>
              </w:rPr>
              <w:t xml:space="preserve"> </w:t>
            </w:r>
            <w:r w:rsidRPr="0061577F">
              <w:rPr>
                <w:szCs w:val="24"/>
              </w:rPr>
              <w:t xml:space="preserve"> The size and the sample should be based on the following:</w:t>
            </w:r>
          </w:p>
          <w:p w14:paraId="1E172BB5" w14:textId="77777777" w:rsidR="00214C57" w:rsidRPr="0061577F" w:rsidRDefault="00214C57" w:rsidP="00214C57">
            <w:pPr>
              <w:pStyle w:val="Bulletlist2ndlevel-BSA-AML"/>
              <w:numPr>
                <w:ilvl w:val="0"/>
                <w:numId w:val="11"/>
              </w:numPr>
              <w:tabs>
                <w:tab w:val="left" w:pos="360"/>
              </w:tabs>
              <w:spacing w:after="0"/>
              <w:rPr>
                <w:szCs w:val="24"/>
              </w:rPr>
            </w:pPr>
            <w:r w:rsidRPr="0061577F">
              <w:rPr>
                <w:szCs w:val="24"/>
              </w:rPr>
              <w:t>Weaknesses in the account monitoring systems.</w:t>
            </w:r>
          </w:p>
          <w:p w14:paraId="79F46FD4" w14:textId="77777777" w:rsidR="00214C57" w:rsidRPr="0061577F" w:rsidRDefault="00214C57" w:rsidP="00214C57">
            <w:pPr>
              <w:pStyle w:val="Bulletlist2ndlevel-BSA-AML"/>
              <w:numPr>
                <w:ilvl w:val="0"/>
                <w:numId w:val="11"/>
              </w:numPr>
              <w:tabs>
                <w:tab w:val="left" w:pos="360"/>
              </w:tabs>
              <w:spacing w:after="0"/>
              <w:rPr>
                <w:szCs w:val="24"/>
              </w:rPr>
            </w:pPr>
            <w:r w:rsidRPr="0061577F">
              <w:rPr>
                <w:szCs w:val="24"/>
              </w:rPr>
              <w:t>The bank’s overall BSA/AML risk profile (e.g., number and type of higher-risk products, services, customers, entities, and geographies).</w:t>
            </w:r>
          </w:p>
          <w:p w14:paraId="3173173F" w14:textId="77777777" w:rsidR="00214C57" w:rsidRPr="0061577F" w:rsidRDefault="00214C57" w:rsidP="00214C57">
            <w:pPr>
              <w:pStyle w:val="Bulletlist2ndlevel-BSA-AML"/>
              <w:numPr>
                <w:ilvl w:val="0"/>
                <w:numId w:val="11"/>
              </w:numPr>
              <w:tabs>
                <w:tab w:val="left" w:pos="360"/>
              </w:tabs>
              <w:spacing w:after="0"/>
              <w:rPr>
                <w:szCs w:val="24"/>
              </w:rPr>
            </w:pPr>
            <w:r>
              <w:rPr>
                <w:szCs w:val="24"/>
              </w:rPr>
              <w:t>Q</w:t>
            </w:r>
            <w:r w:rsidRPr="0061577F">
              <w:rPr>
                <w:szCs w:val="24"/>
              </w:rPr>
              <w:t>uality and extent of review by audit or independent parties.</w:t>
            </w:r>
          </w:p>
          <w:p w14:paraId="274F8FD9" w14:textId="77777777" w:rsidR="00214C57" w:rsidRPr="0061577F" w:rsidRDefault="00214C57" w:rsidP="00214C57">
            <w:pPr>
              <w:pStyle w:val="Bulletlist2ndlevel-BSA-AML"/>
              <w:numPr>
                <w:ilvl w:val="0"/>
                <w:numId w:val="11"/>
              </w:numPr>
              <w:tabs>
                <w:tab w:val="left" w:pos="360"/>
              </w:tabs>
              <w:spacing w:after="0"/>
              <w:rPr>
                <w:szCs w:val="24"/>
              </w:rPr>
            </w:pPr>
            <w:r w:rsidRPr="0061577F">
              <w:rPr>
                <w:szCs w:val="24"/>
              </w:rPr>
              <w:t>Prior examination findings.</w:t>
            </w:r>
          </w:p>
          <w:p w14:paraId="324E4802" w14:textId="77777777" w:rsidR="00214C57" w:rsidRPr="0061577F" w:rsidRDefault="00214C57" w:rsidP="00214C57">
            <w:pPr>
              <w:pStyle w:val="Bulletlist2ndlevel-BSA-AML"/>
              <w:numPr>
                <w:ilvl w:val="0"/>
                <w:numId w:val="11"/>
              </w:numPr>
              <w:tabs>
                <w:tab w:val="left" w:pos="360"/>
              </w:tabs>
              <w:spacing w:after="0"/>
              <w:rPr>
                <w:szCs w:val="24"/>
              </w:rPr>
            </w:pPr>
            <w:r w:rsidRPr="0061577F">
              <w:rPr>
                <w:szCs w:val="24"/>
              </w:rPr>
              <w:t>Recent mergers, acquisitions, or other significant organizational changes.</w:t>
            </w:r>
          </w:p>
          <w:p w14:paraId="002D35D8" w14:textId="77777777" w:rsidR="00214C57" w:rsidRPr="0061577F" w:rsidRDefault="00214C57" w:rsidP="00214C57">
            <w:pPr>
              <w:pStyle w:val="Bulletlist2ndlevel-BSA-AML"/>
              <w:numPr>
                <w:ilvl w:val="0"/>
                <w:numId w:val="11"/>
              </w:numPr>
              <w:tabs>
                <w:tab w:val="left" w:pos="360"/>
              </w:tabs>
              <w:spacing w:after="0"/>
              <w:rPr>
                <w:szCs w:val="24"/>
              </w:rPr>
            </w:pPr>
            <w:r w:rsidRPr="0061577F">
              <w:rPr>
                <w:szCs w:val="24"/>
              </w:rPr>
              <w:t>Conclusions or questions from the review of the bank’s SARs.</w:t>
            </w:r>
          </w:p>
          <w:p w14:paraId="61774D06" w14:textId="77777777" w:rsidR="00214C57" w:rsidRPr="0061577F" w:rsidRDefault="00214C57" w:rsidP="00FD77C2">
            <w:pPr>
              <w:pStyle w:val="Body-BSA-AML"/>
              <w:spacing w:after="0"/>
              <w:rPr>
                <w:szCs w:val="24"/>
              </w:rPr>
            </w:pPr>
          </w:p>
          <w:p w14:paraId="38D2C9CE" w14:textId="77777777" w:rsidR="00214C57" w:rsidRPr="0061577F" w:rsidRDefault="00214C57" w:rsidP="00FD77C2">
            <w:pPr>
              <w:pStyle w:val="Bodyindent-BSA-AML"/>
              <w:spacing w:after="0"/>
              <w:ind w:left="0"/>
              <w:rPr>
                <w:b/>
                <w:szCs w:val="24"/>
              </w:rPr>
            </w:pPr>
            <w:r w:rsidRPr="0061577F">
              <w:rPr>
                <w:szCs w:val="24"/>
              </w:rPr>
              <w:t>Refer to Appendix O</w:t>
            </w:r>
            <w:r>
              <w:rPr>
                <w:szCs w:val="24"/>
              </w:rPr>
              <w:t xml:space="preserve"> in the manual</w:t>
            </w:r>
            <w:r w:rsidRPr="0061577F">
              <w:rPr>
                <w:szCs w:val="24"/>
              </w:rPr>
              <w:t xml:space="preserve"> (“Examiner Tools for Transaction Testing”) for additional guidance.</w:t>
            </w:r>
          </w:p>
        </w:tc>
      </w:tr>
      <w:tr w:rsidR="00214C57" w:rsidRPr="00EC4C3D" w14:paraId="5070298B" w14:textId="77777777" w:rsidTr="00FD77C2">
        <w:tc>
          <w:tcPr>
            <w:tcW w:w="5508" w:type="dxa"/>
            <w:tcBorders>
              <w:bottom w:val="single" w:sz="4" w:space="0" w:color="auto"/>
            </w:tcBorders>
            <w:shd w:val="clear" w:color="auto" w:fill="auto"/>
          </w:tcPr>
          <w:p w14:paraId="2960117B" w14:textId="77777777" w:rsidR="00214C57" w:rsidRPr="00203FC1" w:rsidRDefault="00214C57" w:rsidP="00214C57">
            <w:pPr>
              <w:pStyle w:val="NumberedBSA-AMLList"/>
              <w:numPr>
                <w:ilvl w:val="0"/>
                <w:numId w:val="14"/>
              </w:numPr>
              <w:spacing w:after="0"/>
              <w:rPr>
                <w:sz w:val="22"/>
                <w:szCs w:val="22"/>
              </w:rPr>
            </w:pPr>
            <w:r w:rsidRPr="00203FC1">
              <w:rPr>
                <w:sz w:val="22"/>
                <w:szCs w:val="22"/>
              </w:rPr>
              <w:t>On the basis of a risk assessment, prior examination reports, and a review of the bank’s audit findings, sample specific customer accounts to review the following:</w:t>
            </w:r>
          </w:p>
          <w:p w14:paraId="658B591F" w14:textId="77777777" w:rsidR="00214C57" w:rsidRPr="00203FC1" w:rsidRDefault="00214C57" w:rsidP="00214C57">
            <w:pPr>
              <w:pStyle w:val="Bulletlist2ndlevel-BSA-AML"/>
              <w:numPr>
                <w:ilvl w:val="0"/>
                <w:numId w:val="12"/>
              </w:numPr>
              <w:tabs>
                <w:tab w:val="left" w:pos="360"/>
              </w:tabs>
              <w:spacing w:after="0"/>
              <w:rPr>
                <w:i/>
                <w:sz w:val="22"/>
                <w:szCs w:val="22"/>
              </w:rPr>
            </w:pPr>
            <w:r w:rsidRPr="00203FC1">
              <w:rPr>
                <w:sz w:val="22"/>
                <w:szCs w:val="22"/>
              </w:rPr>
              <w:t>Suspicious activity monitoring reports.</w:t>
            </w:r>
          </w:p>
          <w:p w14:paraId="2DE6F85E" w14:textId="77777777" w:rsidR="00214C57" w:rsidRPr="00203FC1" w:rsidRDefault="00214C57" w:rsidP="00214C57">
            <w:pPr>
              <w:pStyle w:val="Bulletlist2ndlevel-BSA-AML"/>
              <w:numPr>
                <w:ilvl w:val="0"/>
                <w:numId w:val="12"/>
              </w:numPr>
              <w:tabs>
                <w:tab w:val="left" w:pos="360"/>
              </w:tabs>
              <w:spacing w:after="0"/>
              <w:rPr>
                <w:i/>
                <w:sz w:val="22"/>
                <w:szCs w:val="22"/>
              </w:rPr>
            </w:pPr>
            <w:r w:rsidRPr="00203FC1">
              <w:rPr>
                <w:sz w:val="22"/>
                <w:szCs w:val="22"/>
              </w:rPr>
              <w:t>CTR download information.</w:t>
            </w:r>
          </w:p>
          <w:p w14:paraId="10D2FC87" w14:textId="77777777" w:rsidR="00214C57" w:rsidRPr="00203FC1" w:rsidRDefault="00214C57" w:rsidP="00214C57">
            <w:pPr>
              <w:pStyle w:val="Bulletlist2ndlevel-BSA-AML"/>
              <w:numPr>
                <w:ilvl w:val="0"/>
                <w:numId w:val="12"/>
              </w:numPr>
              <w:tabs>
                <w:tab w:val="left" w:pos="360"/>
              </w:tabs>
              <w:spacing w:after="0"/>
              <w:rPr>
                <w:sz w:val="22"/>
                <w:szCs w:val="22"/>
              </w:rPr>
            </w:pPr>
            <w:r w:rsidRPr="00203FC1">
              <w:rPr>
                <w:sz w:val="22"/>
                <w:szCs w:val="22"/>
              </w:rPr>
              <w:t>Higher-risk banking operations (products, services, customers, entities, and geographies).</w:t>
            </w:r>
          </w:p>
          <w:p w14:paraId="092E7A5F" w14:textId="77777777" w:rsidR="00214C57" w:rsidRPr="00203FC1" w:rsidRDefault="00214C57" w:rsidP="00214C57">
            <w:pPr>
              <w:pStyle w:val="Bulletlist2ndlevel-BSA-AML"/>
              <w:numPr>
                <w:ilvl w:val="0"/>
                <w:numId w:val="12"/>
              </w:numPr>
              <w:tabs>
                <w:tab w:val="left" w:pos="360"/>
              </w:tabs>
              <w:spacing w:after="0"/>
              <w:rPr>
                <w:sz w:val="22"/>
                <w:szCs w:val="22"/>
              </w:rPr>
            </w:pPr>
            <w:r w:rsidRPr="00203FC1">
              <w:rPr>
                <w:sz w:val="22"/>
                <w:szCs w:val="22"/>
              </w:rPr>
              <w:t>Customer activity.</w:t>
            </w:r>
          </w:p>
          <w:p w14:paraId="5719523F" w14:textId="77777777" w:rsidR="00214C57" w:rsidRPr="00203FC1" w:rsidRDefault="00214C57" w:rsidP="00214C57">
            <w:pPr>
              <w:pStyle w:val="Bulletlist2ndlevel-BSA-AML"/>
              <w:numPr>
                <w:ilvl w:val="0"/>
                <w:numId w:val="12"/>
              </w:numPr>
              <w:tabs>
                <w:tab w:val="left" w:pos="360"/>
              </w:tabs>
              <w:spacing w:after="0"/>
              <w:rPr>
                <w:sz w:val="22"/>
                <w:szCs w:val="22"/>
              </w:rPr>
            </w:pPr>
            <w:r w:rsidRPr="00203FC1">
              <w:rPr>
                <w:sz w:val="22"/>
                <w:szCs w:val="22"/>
              </w:rPr>
              <w:t>Subpoenas received by the bank.</w:t>
            </w:r>
          </w:p>
          <w:p w14:paraId="01751C86" w14:textId="77777777" w:rsidR="00214C57" w:rsidRPr="00EC4C3D" w:rsidRDefault="00214C57" w:rsidP="00214C57">
            <w:pPr>
              <w:pStyle w:val="Bulletlist2ndlevel-BSA-AML"/>
              <w:numPr>
                <w:ilvl w:val="0"/>
                <w:numId w:val="12"/>
              </w:numPr>
              <w:tabs>
                <w:tab w:val="left" w:pos="360"/>
              </w:tabs>
              <w:spacing w:after="0"/>
              <w:rPr>
                <w:sz w:val="22"/>
                <w:szCs w:val="22"/>
              </w:rPr>
            </w:pPr>
            <w:r w:rsidRPr="00203FC1">
              <w:rPr>
                <w:sz w:val="22"/>
                <w:szCs w:val="22"/>
              </w:rPr>
              <w:t>Decisions not to file a SAR.</w:t>
            </w:r>
          </w:p>
        </w:tc>
        <w:tc>
          <w:tcPr>
            <w:tcW w:w="5508" w:type="dxa"/>
            <w:tcBorders>
              <w:bottom w:val="single" w:sz="4" w:space="0" w:color="auto"/>
            </w:tcBorders>
            <w:shd w:val="clear" w:color="auto" w:fill="auto"/>
          </w:tcPr>
          <w:p w14:paraId="04D3E7CC" w14:textId="77777777" w:rsidR="00214C57" w:rsidRPr="00EC4C3D" w:rsidRDefault="00214C57" w:rsidP="00FD77C2">
            <w:pPr>
              <w:rPr>
                <w:sz w:val="28"/>
                <w:szCs w:val="28"/>
              </w:rPr>
            </w:pPr>
          </w:p>
        </w:tc>
      </w:tr>
      <w:tr w:rsidR="00214C57" w:rsidRPr="00EC4C3D" w14:paraId="5DB93559" w14:textId="77777777" w:rsidTr="00FD77C2">
        <w:tc>
          <w:tcPr>
            <w:tcW w:w="5508" w:type="dxa"/>
            <w:shd w:val="clear" w:color="auto" w:fill="auto"/>
          </w:tcPr>
          <w:p w14:paraId="79F693D0" w14:textId="77777777" w:rsidR="00214C57" w:rsidRPr="00203FC1" w:rsidRDefault="00214C57" w:rsidP="00214C57">
            <w:pPr>
              <w:pStyle w:val="NumberedBSA-AMLList"/>
              <w:numPr>
                <w:ilvl w:val="0"/>
                <w:numId w:val="14"/>
              </w:numPr>
              <w:spacing w:after="0"/>
              <w:rPr>
                <w:sz w:val="22"/>
                <w:szCs w:val="22"/>
              </w:rPr>
            </w:pPr>
            <w:r w:rsidRPr="00203FC1">
              <w:rPr>
                <w:sz w:val="22"/>
                <w:szCs w:val="22"/>
              </w:rPr>
              <w:t>For the customers selected previously, obtain the following information, if applicable:</w:t>
            </w:r>
          </w:p>
          <w:p w14:paraId="03919D1C" w14:textId="77777777" w:rsidR="00214C57" w:rsidRPr="00203FC1" w:rsidRDefault="00214C57" w:rsidP="00214C57">
            <w:pPr>
              <w:pStyle w:val="Bulletlist2ndlevel-BSA-AML"/>
              <w:numPr>
                <w:ilvl w:val="0"/>
                <w:numId w:val="13"/>
              </w:numPr>
              <w:tabs>
                <w:tab w:val="left" w:pos="360"/>
              </w:tabs>
              <w:spacing w:after="0"/>
              <w:rPr>
                <w:sz w:val="22"/>
                <w:szCs w:val="22"/>
              </w:rPr>
            </w:pPr>
            <w:r w:rsidRPr="00203FC1">
              <w:rPr>
                <w:sz w:val="22"/>
                <w:szCs w:val="22"/>
              </w:rPr>
              <w:t>CIP and account-opening documentation.</w:t>
            </w:r>
          </w:p>
          <w:p w14:paraId="0444E91B" w14:textId="77777777" w:rsidR="00214C57" w:rsidRPr="00203FC1" w:rsidRDefault="00214C57" w:rsidP="00214C57">
            <w:pPr>
              <w:pStyle w:val="Bulletlist2ndlevel-BSA-AML"/>
              <w:numPr>
                <w:ilvl w:val="0"/>
                <w:numId w:val="13"/>
              </w:numPr>
              <w:tabs>
                <w:tab w:val="left" w:pos="360"/>
              </w:tabs>
              <w:spacing w:after="0"/>
              <w:rPr>
                <w:sz w:val="22"/>
                <w:szCs w:val="22"/>
              </w:rPr>
            </w:pPr>
            <w:r w:rsidRPr="00203FC1">
              <w:rPr>
                <w:sz w:val="22"/>
                <w:szCs w:val="22"/>
              </w:rPr>
              <w:t>CDD documentation.</w:t>
            </w:r>
          </w:p>
          <w:p w14:paraId="62AF718B" w14:textId="77777777" w:rsidR="00214C57" w:rsidRPr="00203FC1" w:rsidRDefault="00214C57" w:rsidP="00214C57">
            <w:pPr>
              <w:pStyle w:val="Bulletlist2ndlevel-BSA-AML"/>
              <w:numPr>
                <w:ilvl w:val="0"/>
                <w:numId w:val="13"/>
              </w:numPr>
              <w:tabs>
                <w:tab w:val="left" w:pos="360"/>
              </w:tabs>
              <w:spacing w:after="0"/>
              <w:rPr>
                <w:sz w:val="22"/>
                <w:szCs w:val="22"/>
              </w:rPr>
            </w:pPr>
            <w:r w:rsidRPr="00203FC1">
              <w:rPr>
                <w:sz w:val="22"/>
                <w:szCs w:val="22"/>
              </w:rPr>
              <w:t>Two to three months of account statements covering the total customer relationship and showing all transactions.</w:t>
            </w:r>
          </w:p>
          <w:p w14:paraId="7FA3DF4C" w14:textId="77777777" w:rsidR="00214C57" w:rsidRPr="00203FC1" w:rsidRDefault="00214C57" w:rsidP="00214C57">
            <w:pPr>
              <w:pStyle w:val="Bulletlist2ndlevel-BSA-AML"/>
              <w:numPr>
                <w:ilvl w:val="0"/>
                <w:numId w:val="13"/>
              </w:numPr>
              <w:tabs>
                <w:tab w:val="left" w:pos="360"/>
              </w:tabs>
              <w:spacing w:after="0"/>
              <w:rPr>
                <w:sz w:val="22"/>
                <w:szCs w:val="22"/>
              </w:rPr>
            </w:pPr>
            <w:r w:rsidRPr="00203FC1">
              <w:rPr>
                <w:sz w:val="22"/>
                <w:szCs w:val="22"/>
              </w:rPr>
              <w:lastRenderedPageBreak/>
              <w:t>Sample items posted against the account (e.g., copies of checks deposited and written, debit or credit tickets, and funds transfer beneficiaries and originators).</w:t>
            </w:r>
          </w:p>
          <w:p w14:paraId="4CBA65D6" w14:textId="77777777" w:rsidR="00214C57" w:rsidRPr="00EC4C3D" w:rsidRDefault="00214C57" w:rsidP="00214C57">
            <w:pPr>
              <w:pStyle w:val="Bulletlist2ndlevel-BSA-AML"/>
              <w:numPr>
                <w:ilvl w:val="0"/>
                <w:numId w:val="13"/>
              </w:numPr>
              <w:tabs>
                <w:tab w:val="left" w:pos="360"/>
              </w:tabs>
              <w:spacing w:after="0"/>
              <w:rPr>
                <w:sz w:val="22"/>
                <w:szCs w:val="22"/>
              </w:rPr>
            </w:pPr>
            <w:r w:rsidRPr="00203FC1">
              <w:rPr>
                <w:sz w:val="22"/>
                <w:szCs w:val="22"/>
              </w:rPr>
              <w:t>Other relevant information, such as loan files and correspondence.</w:t>
            </w:r>
          </w:p>
        </w:tc>
        <w:tc>
          <w:tcPr>
            <w:tcW w:w="5508" w:type="dxa"/>
            <w:shd w:val="clear" w:color="auto" w:fill="auto"/>
          </w:tcPr>
          <w:p w14:paraId="25E1AD11" w14:textId="77777777" w:rsidR="00214C57" w:rsidRPr="00EC4C3D" w:rsidRDefault="00214C57" w:rsidP="00FD77C2">
            <w:pPr>
              <w:rPr>
                <w:sz w:val="28"/>
                <w:szCs w:val="28"/>
              </w:rPr>
            </w:pPr>
          </w:p>
        </w:tc>
      </w:tr>
      <w:tr w:rsidR="00214C57" w:rsidRPr="00EC4C3D" w14:paraId="095284C8" w14:textId="77777777" w:rsidTr="00FD77C2">
        <w:tc>
          <w:tcPr>
            <w:tcW w:w="5508" w:type="dxa"/>
            <w:shd w:val="clear" w:color="auto" w:fill="auto"/>
          </w:tcPr>
          <w:p w14:paraId="25407ECF" w14:textId="77777777" w:rsidR="00214C57" w:rsidRPr="00EC4C3D" w:rsidRDefault="00214C57" w:rsidP="00214C57">
            <w:pPr>
              <w:pStyle w:val="NumberedBSA-AMLList"/>
              <w:numPr>
                <w:ilvl w:val="0"/>
                <w:numId w:val="14"/>
              </w:numPr>
              <w:spacing w:after="0"/>
              <w:rPr>
                <w:sz w:val="22"/>
                <w:szCs w:val="22"/>
              </w:rPr>
            </w:pPr>
            <w:r w:rsidRPr="00EC4C3D">
              <w:rPr>
                <w:sz w:val="22"/>
                <w:szCs w:val="22"/>
              </w:rPr>
              <w:t>Review the selected accounts for unusual activity.  If the examiner identifies unusual activity, review customer information for indications that the activity is typical for the customer (i.e., the sort of activity in which the customer is normally expected to engage).  When reviewing for unusual activity, consider the following:</w:t>
            </w:r>
          </w:p>
          <w:p w14:paraId="364D9F1F" w14:textId="77777777" w:rsidR="00214C57" w:rsidRPr="00EC4C3D" w:rsidRDefault="00214C57" w:rsidP="00214C57">
            <w:pPr>
              <w:pStyle w:val="Bulletlist2ndlevel-BSA-AML"/>
              <w:numPr>
                <w:ilvl w:val="0"/>
                <w:numId w:val="3"/>
              </w:numPr>
              <w:tabs>
                <w:tab w:val="left" w:pos="360"/>
              </w:tabs>
              <w:spacing w:after="0"/>
              <w:rPr>
                <w:sz w:val="22"/>
                <w:szCs w:val="22"/>
              </w:rPr>
            </w:pPr>
            <w:r w:rsidRPr="00EC4C3D">
              <w:rPr>
                <w:sz w:val="22"/>
                <w:szCs w:val="22"/>
              </w:rPr>
              <w:t>For individual customers, whether the activity is consistent with CDD information (e.g., occupation, expected account activity, and sources of funds and wealth).</w:t>
            </w:r>
          </w:p>
          <w:p w14:paraId="5ADE2C85" w14:textId="77777777" w:rsidR="00214C57" w:rsidRPr="00EC4C3D" w:rsidRDefault="00214C57" w:rsidP="00214C57">
            <w:pPr>
              <w:pStyle w:val="NumberedBSA-AMLList"/>
              <w:numPr>
                <w:ilvl w:val="0"/>
                <w:numId w:val="3"/>
              </w:numPr>
              <w:tabs>
                <w:tab w:val="clear" w:pos="360"/>
              </w:tabs>
              <w:spacing w:after="0"/>
              <w:rPr>
                <w:sz w:val="22"/>
                <w:szCs w:val="22"/>
              </w:rPr>
            </w:pPr>
            <w:r w:rsidRPr="00EC4C3D">
              <w:rPr>
                <w:sz w:val="22"/>
                <w:szCs w:val="22"/>
              </w:rPr>
              <w:t>For business customers, whether the activity is consistent with CDD information (e.g., type of business, size, location, and target market).</w:t>
            </w:r>
          </w:p>
        </w:tc>
        <w:tc>
          <w:tcPr>
            <w:tcW w:w="5508" w:type="dxa"/>
            <w:shd w:val="clear" w:color="auto" w:fill="auto"/>
          </w:tcPr>
          <w:p w14:paraId="185ED65E" w14:textId="77777777" w:rsidR="00214C57" w:rsidRPr="00EC4C3D" w:rsidRDefault="00214C57" w:rsidP="00FD77C2">
            <w:pPr>
              <w:rPr>
                <w:sz w:val="22"/>
                <w:szCs w:val="22"/>
              </w:rPr>
            </w:pPr>
          </w:p>
        </w:tc>
      </w:tr>
      <w:tr w:rsidR="00214C57" w:rsidRPr="00EC4C3D" w14:paraId="4A4AFA05" w14:textId="77777777" w:rsidTr="00FD77C2">
        <w:tc>
          <w:tcPr>
            <w:tcW w:w="5508" w:type="dxa"/>
            <w:shd w:val="clear" w:color="auto" w:fill="auto"/>
          </w:tcPr>
          <w:p w14:paraId="3DBC9BB6" w14:textId="77777777" w:rsidR="00214C57" w:rsidRPr="00EC4C3D" w:rsidRDefault="00214C57" w:rsidP="00214C57">
            <w:pPr>
              <w:pStyle w:val="NumberedBSA-AMLList"/>
              <w:numPr>
                <w:ilvl w:val="0"/>
                <w:numId w:val="14"/>
              </w:numPr>
              <w:spacing w:after="0"/>
              <w:rPr>
                <w:sz w:val="22"/>
                <w:szCs w:val="22"/>
              </w:rPr>
            </w:pPr>
            <w:r w:rsidRPr="00EC4C3D">
              <w:rPr>
                <w:sz w:val="22"/>
                <w:szCs w:val="22"/>
              </w:rPr>
              <w:t xml:space="preserve">Determine whether the </w:t>
            </w:r>
            <w:r>
              <w:rPr>
                <w:sz w:val="22"/>
                <w:szCs w:val="22"/>
              </w:rPr>
              <w:t>transaction</w:t>
            </w:r>
            <w:r w:rsidRPr="00EC4C3D">
              <w:rPr>
                <w:sz w:val="22"/>
                <w:szCs w:val="22"/>
              </w:rPr>
              <w:t xml:space="preserve"> or </w:t>
            </w:r>
            <w:r>
              <w:rPr>
                <w:sz w:val="22"/>
                <w:szCs w:val="22"/>
              </w:rPr>
              <w:t xml:space="preserve">surveillance </w:t>
            </w:r>
            <w:r w:rsidRPr="00EC4C3D">
              <w:rPr>
                <w:sz w:val="22"/>
                <w:szCs w:val="22"/>
              </w:rPr>
              <w:t>suspicious activity monitoring system detected the activity that the examiner identified as unusual.</w:t>
            </w:r>
          </w:p>
        </w:tc>
        <w:tc>
          <w:tcPr>
            <w:tcW w:w="5508" w:type="dxa"/>
            <w:shd w:val="clear" w:color="auto" w:fill="auto"/>
          </w:tcPr>
          <w:p w14:paraId="07AE71A8" w14:textId="77777777" w:rsidR="00214C57" w:rsidRPr="00EC4C3D" w:rsidRDefault="00214C57" w:rsidP="00FD77C2">
            <w:pPr>
              <w:rPr>
                <w:sz w:val="22"/>
                <w:szCs w:val="22"/>
              </w:rPr>
            </w:pPr>
          </w:p>
        </w:tc>
      </w:tr>
      <w:tr w:rsidR="00214C57" w:rsidRPr="00EC4C3D" w14:paraId="541FC100" w14:textId="77777777" w:rsidTr="00FD77C2">
        <w:tc>
          <w:tcPr>
            <w:tcW w:w="5508" w:type="dxa"/>
            <w:shd w:val="clear" w:color="auto" w:fill="auto"/>
          </w:tcPr>
          <w:p w14:paraId="3966704D" w14:textId="77777777" w:rsidR="00214C57" w:rsidRPr="00EC4C3D" w:rsidRDefault="00214C57" w:rsidP="00214C57">
            <w:pPr>
              <w:pStyle w:val="NumberedBSA-AMLList"/>
              <w:numPr>
                <w:ilvl w:val="0"/>
                <w:numId w:val="14"/>
              </w:numPr>
              <w:spacing w:after="0"/>
              <w:rPr>
                <w:sz w:val="22"/>
                <w:szCs w:val="22"/>
              </w:rPr>
            </w:pPr>
            <w:r w:rsidRPr="00EC4C3D">
              <w:rPr>
                <w:sz w:val="22"/>
                <w:szCs w:val="22"/>
              </w:rPr>
              <w:t>For transactions identified as unusual, discuss the transactions with management.  Determine whether the account officer demonstrates knowledge of the customer and the unusual transactions.  After examining the available facts, determine whether management knows of a reasonable explanation for the transactions.</w:t>
            </w:r>
          </w:p>
        </w:tc>
        <w:tc>
          <w:tcPr>
            <w:tcW w:w="5508" w:type="dxa"/>
            <w:shd w:val="clear" w:color="auto" w:fill="auto"/>
          </w:tcPr>
          <w:p w14:paraId="29EF15B0" w14:textId="77777777" w:rsidR="00214C57" w:rsidRPr="00EC4C3D" w:rsidRDefault="00214C57" w:rsidP="00FD77C2">
            <w:pPr>
              <w:rPr>
                <w:sz w:val="22"/>
                <w:szCs w:val="22"/>
              </w:rPr>
            </w:pPr>
          </w:p>
        </w:tc>
      </w:tr>
      <w:tr w:rsidR="00214C57" w:rsidRPr="00EC4C3D" w14:paraId="153133BD" w14:textId="77777777" w:rsidTr="00FD77C2">
        <w:tc>
          <w:tcPr>
            <w:tcW w:w="5508" w:type="dxa"/>
            <w:shd w:val="clear" w:color="auto" w:fill="auto"/>
          </w:tcPr>
          <w:p w14:paraId="613C0274" w14:textId="77777777" w:rsidR="00214C57" w:rsidRPr="00EC4C3D" w:rsidRDefault="00214C57" w:rsidP="00214C57">
            <w:pPr>
              <w:pStyle w:val="NumberedBSA-AMLList"/>
              <w:numPr>
                <w:ilvl w:val="0"/>
                <w:numId w:val="14"/>
              </w:numPr>
              <w:spacing w:after="0"/>
              <w:rPr>
                <w:sz w:val="22"/>
                <w:szCs w:val="22"/>
              </w:rPr>
            </w:pPr>
            <w:r w:rsidRPr="00EC4C3D">
              <w:rPr>
                <w:sz w:val="22"/>
                <w:szCs w:val="22"/>
              </w:rPr>
              <w:t>Determine whether the bank has failed to identify any reportable suspicious activity.</w:t>
            </w:r>
          </w:p>
        </w:tc>
        <w:tc>
          <w:tcPr>
            <w:tcW w:w="5508" w:type="dxa"/>
            <w:shd w:val="clear" w:color="auto" w:fill="auto"/>
          </w:tcPr>
          <w:p w14:paraId="5636F3BB" w14:textId="77777777" w:rsidR="00214C57" w:rsidRPr="00EC4C3D" w:rsidRDefault="00214C57" w:rsidP="00FD77C2">
            <w:pPr>
              <w:rPr>
                <w:sz w:val="22"/>
                <w:szCs w:val="22"/>
              </w:rPr>
            </w:pPr>
          </w:p>
        </w:tc>
      </w:tr>
      <w:tr w:rsidR="00214C57" w:rsidRPr="00EC4C3D" w14:paraId="1E31E08C" w14:textId="77777777" w:rsidTr="00FD77C2">
        <w:tc>
          <w:tcPr>
            <w:tcW w:w="5508" w:type="dxa"/>
            <w:shd w:val="clear" w:color="auto" w:fill="auto"/>
          </w:tcPr>
          <w:p w14:paraId="1B9A953B" w14:textId="77777777" w:rsidR="00214C57" w:rsidRPr="00EC4C3D" w:rsidRDefault="00214C57" w:rsidP="00214C57">
            <w:pPr>
              <w:pStyle w:val="NumberedBSA-AMLList"/>
              <w:numPr>
                <w:ilvl w:val="0"/>
                <w:numId w:val="14"/>
              </w:numPr>
              <w:spacing w:after="0"/>
              <w:rPr>
                <w:sz w:val="22"/>
                <w:szCs w:val="22"/>
              </w:rPr>
            </w:pPr>
            <w:r w:rsidRPr="00EC4C3D">
              <w:rPr>
                <w:sz w:val="22"/>
                <w:szCs w:val="22"/>
              </w:rPr>
              <w:t xml:space="preserve">From the results of the sample, determine whether the </w:t>
            </w:r>
            <w:r>
              <w:rPr>
                <w:sz w:val="22"/>
                <w:szCs w:val="22"/>
              </w:rPr>
              <w:t>transaction</w:t>
            </w:r>
            <w:r w:rsidRPr="00EC4C3D">
              <w:rPr>
                <w:sz w:val="22"/>
                <w:szCs w:val="22"/>
              </w:rPr>
              <w:t xml:space="preserve"> or </w:t>
            </w:r>
            <w:r>
              <w:rPr>
                <w:sz w:val="22"/>
                <w:szCs w:val="22"/>
              </w:rPr>
              <w:t>surveillance</w:t>
            </w:r>
            <w:r w:rsidRPr="00EC4C3D">
              <w:rPr>
                <w:sz w:val="22"/>
                <w:szCs w:val="22"/>
              </w:rPr>
              <w:t xml:space="preserve"> suspicious activity monitoring system effectively detects unusual or suspicious activity.  Identify the underlying cause of any deficiencies in the monitoring systems (e.g., inappropriate filters, insufficient risk assessment, or inadequate decision-making).</w:t>
            </w:r>
          </w:p>
        </w:tc>
        <w:tc>
          <w:tcPr>
            <w:tcW w:w="5508" w:type="dxa"/>
            <w:shd w:val="clear" w:color="auto" w:fill="auto"/>
          </w:tcPr>
          <w:p w14:paraId="145BBB6C" w14:textId="77777777" w:rsidR="00214C57" w:rsidRPr="00EC4C3D" w:rsidRDefault="00214C57" w:rsidP="00FD77C2">
            <w:pPr>
              <w:rPr>
                <w:sz w:val="22"/>
                <w:szCs w:val="22"/>
              </w:rPr>
            </w:pPr>
          </w:p>
        </w:tc>
      </w:tr>
      <w:tr w:rsidR="00214C57" w:rsidRPr="00EC4C3D" w14:paraId="49FB51CE" w14:textId="77777777" w:rsidTr="00FD77C2">
        <w:tc>
          <w:tcPr>
            <w:tcW w:w="5508" w:type="dxa"/>
            <w:shd w:val="clear" w:color="auto" w:fill="auto"/>
          </w:tcPr>
          <w:p w14:paraId="7A802B2E" w14:textId="77777777" w:rsidR="00214C57" w:rsidRPr="00EC4C3D" w:rsidRDefault="00214C57" w:rsidP="00214C57">
            <w:pPr>
              <w:pStyle w:val="NumberedBSA-AMLList"/>
              <w:numPr>
                <w:ilvl w:val="0"/>
                <w:numId w:val="14"/>
              </w:numPr>
              <w:spacing w:after="0"/>
              <w:rPr>
                <w:sz w:val="22"/>
                <w:szCs w:val="22"/>
              </w:rPr>
            </w:pPr>
            <w:r w:rsidRPr="00EC4C3D">
              <w:rPr>
                <w:sz w:val="22"/>
                <w:szCs w:val="22"/>
              </w:rPr>
              <w:t>On the basis of a risk assessment, prior examination reports, and a review of the bank’s audit findings, select a sample of management’s research decisions to determine the following:</w:t>
            </w:r>
          </w:p>
          <w:p w14:paraId="22057920" w14:textId="77777777" w:rsidR="00214C57" w:rsidRPr="00EC4C3D" w:rsidRDefault="00214C57" w:rsidP="00214C57">
            <w:pPr>
              <w:pStyle w:val="Bulletlist2ndlevel-BSA-AML"/>
              <w:numPr>
                <w:ilvl w:val="0"/>
                <w:numId w:val="4"/>
              </w:numPr>
              <w:tabs>
                <w:tab w:val="left" w:pos="360"/>
              </w:tabs>
              <w:spacing w:after="0"/>
              <w:rPr>
                <w:sz w:val="22"/>
                <w:szCs w:val="22"/>
              </w:rPr>
            </w:pPr>
            <w:r w:rsidRPr="00EC4C3D">
              <w:rPr>
                <w:sz w:val="22"/>
                <w:szCs w:val="22"/>
              </w:rPr>
              <w:t>Whether management decisions to file or not file a SAR are supported and reasonable.</w:t>
            </w:r>
          </w:p>
          <w:p w14:paraId="47048C61" w14:textId="77777777" w:rsidR="00214C57" w:rsidRPr="00EC4C3D" w:rsidRDefault="00214C57" w:rsidP="00214C57">
            <w:pPr>
              <w:pStyle w:val="Bulletlist2ndlevel-BSA-AML"/>
              <w:numPr>
                <w:ilvl w:val="0"/>
                <w:numId w:val="4"/>
              </w:numPr>
              <w:tabs>
                <w:tab w:val="left" w:pos="360"/>
              </w:tabs>
              <w:spacing w:after="0"/>
              <w:rPr>
                <w:sz w:val="22"/>
                <w:szCs w:val="22"/>
                <w:u w:val="single"/>
              </w:rPr>
            </w:pPr>
            <w:r w:rsidRPr="00EC4C3D">
              <w:rPr>
                <w:sz w:val="22"/>
                <w:szCs w:val="22"/>
              </w:rPr>
              <w:t>Whether documentation is adequate.</w:t>
            </w:r>
          </w:p>
          <w:p w14:paraId="148A3138" w14:textId="77777777" w:rsidR="00214C57" w:rsidRPr="00EC4C3D" w:rsidRDefault="00214C57" w:rsidP="00214C57">
            <w:pPr>
              <w:pStyle w:val="NumberedBSA-AMLList"/>
              <w:numPr>
                <w:ilvl w:val="0"/>
                <w:numId w:val="4"/>
              </w:numPr>
              <w:tabs>
                <w:tab w:val="clear" w:pos="360"/>
              </w:tabs>
              <w:spacing w:after="0"/>
              <w:rPr>
                <w:sz w:val="22"/>
                <w:szCs w:val="22"/>
              </w:rPr>
            </w:pPr>
            <w:r w:rsidRPr="00EC4C3D">
              <w:rPr>
                <w:sz w:val="22"/>
                <w:szCs w:val="22"/>
              </w:rPr>
              <w:t>Whether the decision process is completed and SARs are filed in a timely manner.</w:t>
            </w:r>
          </w:p>
        </w:tc>
        <w:tc>
          <w:tcPr>
            <w:tcW w:w="5508" w:type="dxa"/>
            <w:shd w:val="clear" w:color="auto" w:fill="auto"/>
          </w:tcPr>
          <w:p w14:paraId="148EEBDE" w14:textId="77777777" w:rsidR="00214C57" w:rsidRPr="00EC4C3D" w:rsidRDefault="00214C57" w:rsidP="00FD77C2">
            <w:pPr>
              <w:rPr>
                <w:sz w:val="22"/>
                <w:szCs w:val="22"/>
              </w:rPr>
            </w:pPr>
          </w:p>
        </w:tc>
      </w:tr>
      <w:tr w:rsidR="00214C57" w:rsidRPr="00EC4C3D" w14:paraId="326A8F46" w14:textId="77777777" w:rsidTr="00FD77C2">
        <w:tc>
          <w:tcPr>
            <w:tcW w:w="5508" w:type="dxa"/>
            <w:tcBorders>
              <w:bottom w:val="single" w:sz="4" w:space="0" w:color="auto"/>
            </w:tcBorders>
            <w:shd w:val="clear" w:color="auto" w:fill="auto"/>
          </w:tcPr>
          <w:p w14:paraId="497E217B" w14:textId="77777777" w:rsidR="00214C57" w:rsidRPr="00203FC1" w:rsidRDefault="00214C57" w:rsidP="00214C57">
            <w:pPr>
              <w:pStyle w:val="NumberedBSA-AMLList"/>
              <w:numPr>
                <w:ilvl w:val="0"/>
                <w:numId w:val="14"/>
              </w:numPr>
              <w:spacing w:after="0"/>
              <w:rPr>
                <w:sz w:val="22"/>
                <w:szCs w:val="22"/>
              </w:rPr>
            </w:pPr>
            <w:r w:rsidRPr="00203FC1">
              <w:rPr>
                <w:bCs/>
                <w:sz w:val="22"/>
                <w:szCs w:val="22"/>
              </w:rPr>
              <w:t xml:space="preserve">On the basis of a risk assessment, prior examination reports, and a review of the bank’s audit findings, sample </w:t>
            </w:r>
            <w:r w:rsidRPr="00203FC1">
              <w:rPr>
                <w:sz w:val="22"/>
                <w:szCs w:val="22"/>
              </w:rPr>
              <w:t xml:space="preserve">the SARs downloaded from the BSA reporting </w:t>
            </w:r>
            <w:r w:rsidRPr="00203FC1">
              <w:rPr>
                <w:sz w:val="22"/>
                <w:szCs w:val="22"/>
              </w:rPr>
              <w:lastRenderedPageBreak/>
              <w:t>database or the bank’s internal SAR records.  Review the quality of SAR content to assess the following:</w:t>
            </w:r>
          </w:p>
          <w:p w14:paraId="06D736C4" w14:textId="77777777" w:rsidR="00214C57" w:rsidRPr="00203FC1" w:rsidRDefault="00214C57" w:rsidP="00214C57">
            <w:pPr>
              <w:pStyle w:val="Bulletlist2ndlevel-BSA-AML"/>
              <w:numPr>
                <w:ilvl w:val="0"/>
                <w:numId w:val="15"/>
              </w:numPr>
              <w:tabs>
                <w:tab w:val="left" w:pos="360"/>
              </w:tabs>
              <w:spacing w:after="0"/>
              <w:rPr>
                <w:sz w:val="22"/>
                <w:szCs w:val="22"/>
              </w:rPr>
            </w:pPr>
            <w:r w:rsidRPr="00203FC1">
              <w:rPr>
                <w:sz w:val="22"/>
                <w:szCs w:val="22"/>
              </w:rPr>
              <w:t>SARs contain accurate information.</w:t>
            </w:r>
          </w:p>
          <w:p w14:paraId="095CB0D5" w14:textId="77777777" w:rsidR="00214C57" w:rsidRPr="003F7204" w:rsidRDefault="00214C57" w:rsidP="00214C57">
            <w:pPr>
              <w:pStyle w:val="Bulletlist2ndlevel-BSA-AML"/>
              <w:numPr>
                <w:ilvl w:val="0"/>
                <w:numId w:val="15"/>
              </w:numPr>
              <w:tabs>
                <w:tab w:val="left" w:pos="360"/>
              </w:tabs>
              <w:spacing w:after="0"/>
              <w:rPr>
                <w:bCs/>
                <w:sz w:val="22"/>
                <w:szCs w:val="22"/>
              </w:rPr>
            </w:pPr>
            <w:r w:rsidRPr="00203FC1">
              <w:rPr>
                <w:sz w:val="22"/>
                <w:szCs w:val="22"/>
              </w:rPr>
              <w:t>SAR narratives are complete and thorough, and clearly explain why the activity is suspicious</w:t>
            </w:r>
            <w:r>
              <w:rPr>
                <w:sz w:val="22"/>
                <w:szCs w:val="22"/>
              </w:rPr>
              <w:t xml:space="preserve"> (i.e., the SAR narrative should not simply state “see attachment” if the bank included a csv file)</w:t>
            </w:r>
            <w:r w:rsidRPr="00203FC1">
              <w:rPr>
                <w:sz w:val="22"/>
                <w:szCs w:val="22"/>
              </w:rPr>
              <w:t>.</w:t>
            </w:r>
          </w:p>
        </w:tc>
        <w:tc>
          <w:tcPr>
            <w:tcW w:w="5508" w:type="dxa"/>
            <w:tcBorders>
              <w:bottom w:val="single" w:sz="4" w:space="0" w:color="auto"/>
            </w:tcBorders>
            <w:shd w:val="clear" w:color="auto" w:fill="auto"/>
          </w:tcPr>
          <w:p w14:paraId="43F894A0" w14:textId="77777777" w:rsidR="00214C57" w:rsidRPr="00EC4C3D" w:rsidRDefault="00214C57" w:rsidP="00FD77C2">
            <w:pPr>
              <w:rPr>
                <w:sz w:val="22"/>
                <w:szCs w:val="22"/>
              </w:rPr>
            </w:pPr>
          </w:p>
        </w:tc>
      </w:tr>
      <w:tr w:rsidR="00214C57" w:rsidRPr="00EC4C3D" w14:paraId="6EFBD3E7" w14:textId="77777777" w:rsidTr="00FD77C2">
        <w:tc>
          <w:tcPr>
            <w:tcW w:w="5508" w:type="dxa"/>
            <w:tcBorders>
              <w:bottom w:val="single" w:sz="4" w:space="0" w:color="auto"/>
            </w:tcBorders>
            <w:shd w:val="clear" w:color="auto" w:fill="auto"/>
          </w:tcPr>
          <w:p w14:paraId="3D073F68" w14:textId="77777777" w:rsidR="00214C57" w:rsidRPr="00EC4C3D" w:rsidRDefault="00214C57" w:rsidP="00214C57">
            <w:pPr>
              <w:pStyle w:val="NumberedBSA-AMLList"/>
              <w:numPr>
                <w:ilvl w:val="0"/>
                <w:numId w:val="14"/>
              </w:numPr>
              <w:spacing w:after="0"/>
              <w:rPr>
                <w:sz w:val="22"/>
                <w:szCs w:val="22"/>
              </w:rPr>
            </w:pPr>
            <w:r w:rsidRPr="00EC4C3D">
              <w:rPr>
                <w:bCs/>
                <w:sz w:val="22"/>
                <w:szCs w:val="22"/>
              </w:rPr>
              <w:t xml:space="preserve">On the basis of </w:t>
            </w:r>
            <w:r w:rsidRPr="00EC4C3D">
              <w:rPr>
                <w:sz w:val="22"/>
                <w:szCs w:val="22"/>
              </w:rPr>
              <w:t xml:space="preserve">examination </w:t>
            </w:r>
            <w:r w:rsidRPr="00EC4C3D">
              <w:rPr>
                <w:bCs/>
                <w:sz w:val="22"/>
                <w:szCs w:val="22"/>
              </w:rPr>
              <w:t xml:space="preserve">procedures </w:t>
            </w:r>
            <w:r w:rsidRPr="00EC4C3D">
              <w:rPr>
                <w:sz w:val="22"/>
                <w:szCs w:val="22"/>
              </w:rPr>
              <w:t>completed, including transaction testing, form a conclusion about the ability of policies, procedures, and processes to meet regulatory requirements associated with monitoring, detecting, and reporting suspicious activity.</w:t>
            </w:r>
          </w:p>
        </w:tc>
        <w:tc>
          <w:tcPr>
            <w:tcW w:w="5508" w:type="dxa"/>
            <w:tcBorders>
              <w:bottom w:val="single" w:sz="4" w:space="0" w:color="auto"/>
            </w:tcBorders>
            <w:shd w:val="clear" w:color="auto" w:fill="auto"/>
          </w:tcPr>
          <w:p w14:paraId="5A183D7D" w14:textId="77777777" w:rsidR="00214C57" w:rsidRPr="00EC4C3D" w:rsidRDefault="00214C57" w:rsidP="00FD77C2">
            <w:pPr>
              <w:rPr>
                <w:sz w:val="22"/>
                <w:szCs w:val="22"/>
              </w:rPr>
            </w:pPr>
          </w:p>
        </w:tc>
      </w:tr>
    </w:tbl>
    <w:p w14:paraId="39A1F16E" w14:textId="77777777" w:rsidR="008218DF" w:rsidRPr="00214C57" w:rsidRDefault="008218DF" w:rsidP="00214C57">
      <w:bookmarkStart w:id="1" w:name="_GoBack"/>
      <w:bookmarkEnd w:id="1"/>
    </w:p>
    <w:sectPr w:rsidR="008218DF" w:rsidRPr="00214C57" w:rsidSect="00C73169">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11ACE4" w14:textId="77777777" w:rsidR="001C597F" w:rsidRDefault="001C597F" w:rsidP="001C59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0AE9" w14:textId="77777777" w:rsidR="00644539" w:rsidRDefault="0064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D958137" w14:textId="77777777" w:rsidR="001C597F" w:rsidRDefault="001C5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BDD6" w14:textId="77777777" w:rsidR="00644539" w:rsidRDefault="0064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368"/>
    <w:multiLevelType w:val="hybridMultilevel"/>
    <w:tmpl w:val="8D34B070"/>
    <w:lvl w:ilvl="0" w:tplc="42CE6AB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3F32"/>
    <w:multiLevelType w:val="hybridMultilevel"/>
    <w:tmpl w:val="3DB8495E"/>
    <w:lvl w:ilvl="0" w:tplc="BC0A5B6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2409E"/>
    <w:multiLevelType w:val="hybridMultilevel"/>
    <w:tmpl w:val="40A8D1BC"/>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13E12"/>
    <w:multiLevelType w:val="hybridMultilevel"/>
    <w:tmpl w:val="137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60214"/>
    <w:multiLevelType w:val="hybridMultilevel"/>
    <w:tmpl w:val="BE148E44"/>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8256FD"/>
    <w:multiLevelType w:val="hybridMultilevel"/>
    <w:tmpl w:val="97345426"/>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AD495F"/>
    <w:multiLevelType w:val="hybridMultilevel"/>
    <w:tmpl w:val="888AB61A"/>
    <w:lvl w:ilvl="0" w:tplc="B4188A8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296B54"/>
    <w:multiLevelType w:val="hybridMultilevel"/>
    <w:tmpl w:val="A9580FD2"/>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E7060"/>
    <w:multiLevelType w:val="hybridMultilevel"/>
    <w:tmpl w:val="E2D6EB8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613C07E6"/>
    <w:multiLevelType w:val="hybridMultilevel"/>
    <w:tmpl w:val="649404E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A2B62"/>
    <w:multiLevelType w:val="hybridMultilevel"/>
    <w:tmpl w:val="7702EEEE"/>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650C7"/>
    <w:multiLevelType w:val="hybridMultilevel"/>
    <w:tmpl w:val="3B2A1B76"/>
    <w:lvl w:ilvl="0" w:tplc="C7EEAFCE">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175364"/>
    <w:multiLevelType w:val="hybridMultilevel"/>
    <w:tmpl w:val="BED8E398"/>
    <w:lvl w:ilvl="0" w:tplc="A138900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14"/>
  </w:num>
  <w:num w:numId="5">
    <w:abstractNumId w:val="12"/>
  </w:num>
  <w:num w:numId="6">
    <w:abstractNumId w:val="8"/>
  </w:num>
  <w:num w:numId="7">
    <w:abstractNumId w:val="1"/>
  </w:num>
  <w:num w:numId="8">
    <w:abstractNumId w:val="0"/>
  </w:num>
  <w:num w:numId="9">
    <w:abstractNumId w:val="4"/>
  </w:num>
  <w:num w:numId="10">
    <w:abstractNumId w:val="10"/>
  </w:num>
  <w:num w:numId="11">
    <w:abstractNumId w:val="11"/>
  </w:num>
  <w:num w:numId="12">
    <w:abstractNumId w:val="9"/>
  </w:num>
  <w:num w:numId="13">
    <w:abstractNumId w:val="2"/>
  </w:num>
  <w:num w:numId="14">
    <w:abstractNumId w:val="1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B6182"/>
    <w:rsid w:val="00153D87"/>
    <w:rsid w:val="001C597F"/>
    <w:rsid w:val="00214C57"/>
    <w:rsid w:val="002456DC"/>
    <w:rsid w:val="002C7896"/>
    <w:rsid w:val="00381955"/>
    <w:rsid w:val="00545344"/>
    <w:rsid w:val="00551E98"/>
    <w:rsid w:val="005A483D"/>
    <w:rsid w:val="00644539"/>
    <w:rsid w:val="0066634D"/>
    <w:rsid w:val="00693331"/>
    <w:rsid w:val="006938EE"/>
    <w:rsid w:val="00711436"/>
    <w:rsid w:val="0074091F"/>
    <w:rsid w:val="008218DF"/>
    <w:rsid w:val="0082386F"/>
    <w:rsid w:val="00827065"/>
    <w:rsid w:val="008C1A62"/>
    <w:rsid w:val="008D1B70"/>
    <w:rsid w:val="00942A1C"/>
    <w:rsid w:val="00A13081"/>
    <w:rsid w:val="00A33330"/>
    <w:rsid w:val="00A37C93"/>
    <w:rsid w:val="00A9534A"/>
    <w:rsid w:val="00AB7A7D"/>
    <w:rsid w:val="00AC3068"/>
    <w:rsid w:val="00B0373F"/>
    <w:rsid w:val="00B57732"/>
    <w:rsid w:val="00BD16CB"/>
    <w:rsid w:val="00C40DD6"/>
    <w:rsid w:val="00C73169"/>
    <w:rsid w:val="00C7598C"/>
    <w:rsid w:val="00CC10D0"/>
    <w:rsid w:val="00CE1F59"/>
    <w:rsid w:val="00CF0853"/>
    <w:rsid w:val="00CF7AF0"/>
    <w:rsid w:val="00D8007E"/>
    <w:rsid w:val="00D95CB7"/>
    <w:rsid w:val="00DA7E7B"/>
    <w:rsid w:val="00EC37F2"/>
    <w:rsid w:val="00F338D1"/>
    <w:rsid w:val="00F410AB"/>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8218DF"/>
  </w:style>
  <w:style w:type="character" w:customStyle="1" w:styleId="FootnoteTextChar">
    <w:name w:val="Footnote Text Char"/>
    <w:basedOn w:val="DefaultParagraphFont"/>
    <w:link w:val="FootnoteText"/>
    <w:uiPriority w:val="99"/>
    <w:semiHidden/>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4F17-10C4-614E-8A11-DCDD0B42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8130</Characters>
  <Application>Microsoft Office Word</Application>
  <DocSecurity>0</DocSecurity>
  <Lines>67</Lines>
  <Paragraphs>19</Paragraphs>
  <ScaleCrop>false</ScaleCrop>
  <Company>CPS</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2018-06-06T15:01:00Z</dcterms:created>
  <dcterms:modified xsi:type="dcterms:W3CDTF">2018-06-06T15:01:00Z</dcterms:modified>
</cp:coreProperties>
</file>