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65EE" w14:textId="04DB40C6" w:rsidR="00214C57" w:rsidRPr="00C13F9C" w:rsidRDefault="00C13F9C" w:rsidP="00C13F9C">
      <w:pPr>
        <w:pStyle w:val="Head4-BSA-AML"/>
        <w:jc w:val="center"/>
        <w:rPr>
          <w:rFonts w:cs="Arial"/>
          <w:szCs w:val="36"/>
        </w:rPr>
      </w:pPr>
      <w:r w:rsidRPr="00C13F9C">
        <w:rPr>
          <w:rFonts w:cs="Arial"/>
          <w:szCs w:val="36"/>
        </w:rPr>
        <w:t xml:space="preserve">Transactions of Exempt Persons </w:t>
      </w:r>
      <w:r>
        <w:rPr>
          <w:rFonts w:cs="Arial"/>
          <w:szCs w:val="36"/>
        </w:rPr>
        <w:t xml:space="preserve"> </w:t>
      </w:r>
      <w:r w:rsidRPr="00C13F9C">
        <w:rPr>
          <w:rFonts w:cs="Arial"/>
          <w:szCs w:val="36"/>
        </w:rPr>
        <w:t>Examination and Testing Procedures</w:t>
      </w:r>
    </w:p>
    <w:p w14:paraId="653C10A8" w14:textId="7165446D" w:rsidR="00214C57" w:rsidRPr="00A93677" w:rsidRDefault="00214C57" w:rsidP="00214C57">
      <w:pPr>
        <w:rPr>
          <w:i/>
          <w:sz w:val="24"/>
          <w:szCs w:val="24"/>
        </w:rPr>
      </w:pPr>
      <w:r w:rsidRPr="00A93677">
        <w:rPr>
          <w:rStyle w:val="Head7-BSA-AMLCharChar"/>
          <w:szCs w:val="24"/>
        </w:rPr>
        <w:t>Objective.</w:t>
      </w:r>
      <w:r w:rsidRPr="00A93677">
        <w:rPr>
          <w:sz w:val="24"/>
          <w:szCs w:val="24"/>
        </w:rPr>
        <w:t xml:space="preserve">  </w:t>
      </w:r>
      <w:r w:rsidR="00C13F9C" w:rsidRPr="00C13F9C">
        <w:rPr>
          <w:bCs/>
          <w:i/>
          <w:sz w:val="24"/>
          <w:szCs w:val="24"/>
        </w:rPr>
        <w:t>Assess</w:t>
      </w:r>
      <w:r w:rsidR="00C13F9C" w:rsidRPr="00C13F9C">
        <w:rPr>
          <w:i/>
          <w:sz w:val="24"/>
          <w:szCs w:val="24"/>
        </w:rPr>
        <w:t xml:space="preserve"> the bank’s compliance with the BSA regulatory requirements for exemptions from the currency transaction reporting requirements.</w:t>
      </w:r>
    </w:p>
    <w:p w14:paraId="4C57FBE2" w14:textId="77777777" w:rsidR="00214C57" w:rsidRDefault="00214C57" w:rsidP="00214C57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C13F9C" w:rsidRPr="00EC4C3D" w14:paraId="67C0E617" w14:textId="77777777" w:rsidTr="00A81956">
        <w:trPr>
          <w:tblHeader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E0E0E0"/>
          </w:tcPr>
          <w:p w14:paraId="41897B25" w14:textId="77777777" w:rsidR="00C13F9C" w:rsidRPr="00EC4C3D" w:rsidRDefault="00C13F9C" w:rsidP="00A81956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shd w:val="clear" w:color="auto" w:fill="E0E0E0"/>
          </w:tcPr>
          <w:p w14:paraId="52462331" w14:textId="77777777" w:rsidR="00C13F9C" w:rsidRPr="00EC4C3D" w:rsidRDefault="00C13F9C" w:rsidP="00A81956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Comments</w:t>
            </w:r>
          </w:p>
        </w:tc>
      </w:tr>
      <w:tr w:rsidR="00C13F9C" w:rsidRPr="00EC4C3D" w14:paraId="426DCB36" w14:textId="77777777" w:rsidTr="00A81956">
        <w:tc>
          <w:tcPr>
            <w:tcW w:w="5394" w:type="dxa"/>
            <w:shd w:val="clear" w:color="auto" w:fill="auto"/>
          </w:tcPr>
          <w:p w14:paraId="6E47F1A5" w14:textId="77777777" w:rsidR="00C13F9C" w:rsidRPr="00C13F9C" w:rsidRDefault="00C13F9C" w:rsidP="00C13F9C">
            <w:pPr>
              <w:pStyle w:val="NumberedBSA-AMLList"/>
              <w:numPr>
                <w:ilvl w:val="0"/>
                <w:numId w:val="26"/>
              </w:numPr>
              <w:spacing w:before="120" w:after="120"/>
              <w:ind w:left="36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Review the bank’s policies, procedures, and processes that address exempting customers from CTR filings.  Determine whether the policies, procedures and processes provide steps for:</w:t>
            </w:r>
          </w:p>
          <w:p w14:paraId="590E395B" w14:textId="77777777" w:rsidR="00C13F9C" w:rsidRPr="00C13F9C" w:rsidRDefault="00C13F9C" w:rsidP="00C13F9C">
            <w:pPr>
              <w:pStyle w:val="NumberedBSA-AMLList"/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 xml:space="preserve">Assuring that a person is an exempt person, including completing the required annual reviews of eligibility, </w:t>
            </w:r>
          </w:p>
          <w:p w14:paraId="11BB3FFD" w14:textId="77777777" w:rsidR="00C13F9C" w:rsidRPr="00C13F9C" w:rsidRDefault="00C13F9C" w:rsidP="00C13F9C">
            <w:pPr>
              <w:pStyle w:val="NumberedBSA-AMLList"/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Documenting the basis for conclusions regarding eligibility, and</w:t>
            </w:r>
          </w:p>
          <w:p w14:paraId="57927DEA" w14:textId="77777777" w:rsidR="00C13F9C" w:rsidRPr="00C13F9C" w:rsidRDefault="00C13F9C" w:rsidP="00C13F9C">
            <w:pPr>
              <w:pStyle w:val="NumberedBSA-AMLList"/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Documenting compliance with the regulation.</w:t>
            </w:r>
          </w:p>
        </w:tc>
        <w:tc>
          <w:tcPr>
            <w:tcW w:w="5396" w:type="dxa"/>
            <w:shd w:val="clear" w:color="auto" w:fill="auto"/>
          </w:tcPr>
          <w:p w14:paraId="29F54BE8" w14:textId="77777777" w:rsidR="00C13F9C" w:rsidRPr="00C13F9C" w:rsidRDefault="00C13F9C" w:rsidP="00A81956">
            <w:pPr>
              <w:rPr>
                <w:sz w:val="22"/>
                <w:szCs w:val="22"/>
              </w:rPr>
            </w:pPr>
          </w:p>
        </w:tc>
      </w:tr>
      <w:tr w:rsidR="00C13F9C" w:rsidRPr="00EC4C3D" w14:paraId="18F26B6F" w14:textId="77777777" w:rsidTr="00A81956">
        <w:tc>
          <w:tcPr>
            <w:tcW w:w="5394" w:type="dxa"/>
            <w:shd w:val="clear" w:color="auto" w:fill="auto"/>
          </w:tcPr>
          <w:p w14:paraId="0919BED9" w14:textId="77777777" w:rsidR="00C13F9C" w:rsidRPr="00C13F9C" w:rsidRDefault="00C13F9C" w:rsidP="00C13F9C">
            <w:pPr>
              <w:pStyle w:val="NumberedBSA-AMLList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Select a sample of filed Designation of Exempt Person reports to determine whether:</w:t>
            </w:r>
          </w:p>
          <w:p w14:paraId="3BBB3159" w14:textId="77777777" w:rsidR="00C13F9C" w:rsidRPr="00C13F9C" w:rsidRDefault="00C13F9C" w:rsidP="00C13F9C">
            <w:pPr>
              <w:pStyle w:val="NumberedBSA-AMLList"/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The reports are filed in accordance with FinCEN instructions within 30 days of the first reportable transaction that the bank sought to exempt.</w:t>
            </w:r>
          </w:p>
          <w:p w14:paraId="1760E4BF" w14:textId="77777777" w:rsidR="00C13F9C" w:rsidRPr="00C13F9C" w:rsidRDefault="00C13F9C" w:rsidP="00C13F9C">
            <w:pPr>
              <w:pStyle w:val="NumberedBSA-AMLList"/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 xml:space="preserve">The customer is eligible for designation as exempt (see categories of </w:t>
            </w:r>
            <w:hyperlink w:anchor="Phase_I" w:history="1">
              <w:r w:rsidRPr="00C13F9C">
                <w:rPr>
                  <w:rStyle w:val="Hyperlink"/>
                  <w:rFonts w:eastAsiaTheme="majorEastAsia"/>
                  <w:sz w:val="22"/>
                  <w:szCs w:val="22"/>
                </w:rPr>
                <w:t>Phase I</w:t>
              </w:r>
            </w:hyperlink>
            <w:r w:rsidRPr="00C13F9C">
              <w:rPr>
                <w:sz w:val="22"/>
                <w:szCs w:val="22"/>
              </w:rPr>
              <w:t xml:space="preserve"> exempt persons and </w:t>
            </w:r>
            <w:hyperlink w:anchor="Phase_II" w:history="1">
              <w:r w:rsidRPr="00C13F9C">
                <w:rPr>
                  <w:rStyle w:val="Hyperlink"/>
                  <w:rFonts w:eastAsiaTheme="majorEastAsia"/>
                  <w:sz w:val="22"/>
                  <w:szCs w:val="22"/>
                </w:rPr>
                <w:t>Phase II</w:t>
              </w:r>
            </w:hyperlink>
            <w:r w:rsidRPr="00C13F9C">
              <w:rPr>
                <w:sz w:val="22"/>
                <w:szCs w:val="22"/>
              </w:rPr>
              <w:t xml:space="preserve"> exempt persons).  </w:t>
            </w:r>
          </w:p>
          <w:p w14:paraId="7B343CD0" w14:textId="77777777" w:rsidR="00C13F9C" w:rsidRPr="00C13F9C" w:rsidRDefault="00C13F9C" w:rsidP="00C13F9C">
            <w:pPr>
              <w:pStyle w:val="NumberedBSA-AMLList"/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The bank maintains documentation to support that designated non-listed businesses do not receive more than 50 percent of gross revenue from ineligible business activities.</w:t>
            </w:r>
          </w:p>
        </w:tc>
        <w:tc>
          <w:tcPr>
            <w:tcW w:w="5396" w:type="dxa"/>
            <w:shd w:val="clear" w:color="auto" w:fill="auto"/>
          </w:tcPr>
          <w:p w14:paraId="1E0DF811" w14:textId="77777777" w:rsidR="00C13F9C" w:rsidRPr="00C13F9C" w:rsidRDefault="00C13F9C" w:rsidP="00A81956">
            <w:pPr>
              <w:rPr>
                <w:sz w:val="22"/>
                <w:szCs w:val="22"/>
              </w:rPr>
            </w:pPr>
          </w:p>
        </w:tc>
      </w:tr>
      <w:tr w:rsidR="00C13F9C" w:rsidRPr="00EC4C3D" w14:paraId="20BB1F65" w14:textId="77777777" w:rsidTr="00A81956">
        <w:tc>
          <w:tcPr>
            <w:tcW w:w="5394" w:type="dxa"/>
            <w:shd w:val="clear" w:color="auto" w:fill="auto"/>
          </w:tcPr>
          <w:p w14:paraId="27105133" w14:textId="77777777" w:rsidR="00C13F9C" w:rsidRPr="00C13F9C" w:rsidRDefault="00C13F9C" w:rsidP="00C13F9C">
            <w:pPr>
              <w:pStyle w:val="NumberedBSA-AMLList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 xml:space="preserve">Determine that the information supporting the eligibility of each exempt person that is a listed public company, a listed public company subsidiary, a non-listed business, or a payroll customer is reviewed by the bank at least once a year to determine whether the person remains eligible for an exemption.  Determine that the bank appropriately documents the annual review and information used to confirm eligibility.  </w:t>
            </w:r>
          </w:p>
        </w:tc>
        <w:tc>
          <w:tcPr>
            <w:tcW w:w="5396" w:type="dxa"/>
            <w:shd w:val="clear" w:color="auto" w:fill="auto"/>
          </w:tcPr>
          <w:p w14:paraId="3807DD21" w14:textId="77777777" w:rsidR="00C13F9C" w:rsidRPr="00C13F9C" w:rsidRDefault="00C13F9C" w:rsidP="00A81956">
            <w:pPr>
              <w:rPr>
                <w:sz w:val="22"/>
                <w:szCs w:val="22"/>
              </w:rPr>
            </w:pPr>
          </w:p>
        </w:tc>
      </w:tr>
      <w:tr w:rsidR="00C13F9C" w:rsidRPr="00EC4C3D" w14:paraId="0DDE7056" w14:textId="77777777" w:rsidTr="00A81956">
        <w:tc>
          <w:tcPr>
            <w:tcW w:w="5394" w:type="dxa"/>
            <w:shd w:val="clear" w:color="auto" w:fill="auto"/>
          </w:tcPr>
          <w:p w14:paraId="45B02874" w14:textId="77777777" w:rsidR="00C13F9C" w:rsidRPr="00C13F9C" w:rsidRDefault="00C13F9C" w:rsidP="00C13F9C">
            <w:pPr>
              <w:pStyle w:val="NumberedBSA-AMLList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 w:rsidRPr="00C13F9C">
              <w:rPr>
                <w:sz w:val="22"/>
                <w:szCs w:val="22"/>
              </w:rPr>
              <w:t>Determine whether the bank’s internal controls are designed to assure ongoing compliance with CTR exemption requirements and are commensurate with the bank’s size or complexity and organizational structure.</w:t>
            </w:r>
          </w:p>
        </w:tc>
        <w:tc>
          <w:tcPr>
            <w:tcW w:w="5396" w:type="dxa"/>
            <w:shd w:val="clear" w:color="auto" w:fill="auto"/>
          </w:tcPr>
          <w:p w14:paraId="120CBDEA" w14:textId="77777777" w:rsidR="00C13F9C" w:rsidRPr="00C13F9C" w:rsidRDefault="00C13F9C" w:rsidP="00A81956">
            <w:pPr>
              <w:rPr>
                <w:sz w:val="22"/>
                <w:szCs w:val="22"/>
              </w:rPr>
            </w:pPr>
          </w:p>
        </w:tc>
      </w:tr>
      <w:tr w:rsidR="00C13F9C" w:rsidRPr="00EC4C3D" w14:paraId="6B9626BA" w14:textId="77777777" w:rsidTr="00A81956">
        <w:tc>
          <w:tcPr>
            <w:tcW w:w="5394" w:type="dxa"/>
            <w:shd w:val="clear" w:color="auto" w:fill="auto"/>
          </w:tcPr>
          <w:p w14:paraId="29883ACE" w14:textId="77777777" w:rsidR="00C13F9C" w:rsidRPr="00C13F9C" w:rsidRDefault="00C13F9C" w:rsidP="00C13F9C">
            <w:pPr>
              <w:pStyle w:val="NumberedBSA-AMLList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proofErr w:type="gramStart"/>
            <w:r w:rsidRPr="00C13F9C">
              <w:rPr>
                <w:sz w:val="22"/>
                <w:szCs w:val="22"/>
              </w:rPr>
              <w:t>On the basis of</w:t>
            </w:r>
            <w:proofErr w:type="gramEnd"/>
            <w:r w:rsidRPr="00C13F9C">
              <w:rPr>
                <w:sz w:val="22"/>
                <w:szCs w:val="22"/>
              </w:rPr>
              <w:t xml:space="preserve"> examination and testing procedures completed, form a conclusion about the adequacy of policies, procedures, and processes the bank has </w:t>
            </w:r>
            <w:r w:rsidRPr="00C13F9C">
              <w:rPr>
                <w:sz w:val="22"/>
                <w:szCs w:val="22"/>
              </w:rPr>
              <w:lastRenderedPageBreak/>
              <w:t>developed to meet BSA regulatory requirements associated with exemptions from currency transaction reporting.</w:t>
            </w:r>
          </w:p>
        </w:tc>
        <w:tc>
          <w:tcPr>
            <w:tcW w:w="5396" w:type="dxa"/>
            <w:shd w:val="clear" w:color="auto" w:fill="auto"/>
          </w:tcPr>
          <w:p w14:paraId="6A44C713" w14:textId="77777777" w:rsidR="00C13F9C" w:rsidRPr="00C13F9C" w:rsidRDefault="00C13F9C" w:rsidP="00A81956">
            <w:pPr>
              <w:rPr>
                <w:sz w:val="22"/>
                <w:szCs w:val="22"/>
              </w:rPr>
            </w:pPr>
          </w:p>
        </w:tc>
      </w:tr>
    </w:tbl>
    <w:p w14:paraId="39A1F16E" w14:textId="77777777" w:rsidR="008218DF" w:rsidRPr="00214C57" w:rsidRDefault="008218DF" w:rsidP="00214C57"/>
    <w:sectPr w:rsidR="008218DF" w:rsidRPr="00214C57" w:rsidSect="00C73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26F27" w14:textId="77777777" w:rsidR="00C64E9C" w:rsidRDefault="00C64E9C" w:rsidP="001C597F">
      <w:r>
        <w:separator/>
      </w:r>
    </w:p>
  </w:endnote>
  <w:endnote w:type="continuationSeparator" w:id="0">
    <w:p w14:paraId="27D1F79F" w14:textId="77777777" w:rsidR="00C64E9C" w:rsidRDefault="00C64E9C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11ACE4" w14:textId="77777777" w:rsidR="001C597F" w:rsidRDefault="001C597F" w:rsidP="001C597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60AE9" w14:textId="77777777" w:rsidR="00644539" w:rsidRDefault="00644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375A" w14:textId="77777777" w:rsidR="00C64E9C" w:rsidRDefault="00C64E9C" w:rsidP="001C597F">
      <w:r>
        <w:separator/>
      </w:r>
    </w:p>
  </w:footnote>
  <w:footnote w:type="continuationSeparator" w:id="0">
    <w:p w14:paraId="0A053383" w14:textId="77777777" w:rsidR="00C64E9C" w:rsidRDefault="00C64E9C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1C9F" w14:textId="77777777" w:rsidR="00644539" w:rsidRDefault="0064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D958137" w14:textId="77777777" w:rsidR="001C597F" w:rsidRDefault="001C5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BDD6" w14:textId="77777777" w:rsidR="00644539" w:rsidRDefault="00644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BBC"/>
    <w:multiLevelType w:val="hybridMultilevel"/>
    <w:tmpl w:val="5F64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30368"/>
    <w:multiLevelType w:val="hybridMultilevel"/>
    <w:tmpl w:val="8D34B070"/>
    <w:lvl w:ilvl="0" w:tplc="42CE6A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F32"/>
    <w:multiLevelType w:val="hybridMultilevel"/>
    <w:tmpl w:val="3DB8495E"/>
    <w:lvl w:ilvl="0" w:tplc="BC0A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74DF"/>
    <w:multiLevelType w:val="hybridMultilevel"/>
    <w:tmpl w:val="DC32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09E"/>
    <w:multiLevelType w:val="hybridMultilevel"/>
    <w:tmpl w:val="40A8D1BC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5C42"/>
    <w:multiLevelType w:val="hybridMultilevel"/>
    <w:tmpl w:val="D662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E12"/>
    <w:multiLevelType w:val="hybridMultilevel"/>
    <w:tmpl w:val="137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214"/>
    <w:multiLevelType w:val="hybridMultilevel"/>
    <w:tmpl w:val="BE148E4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14D"/>
    <w:multiLevelType w:val="hybridMultilevel"/>
    <w:tmpl w:val="BD1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4EE8"/>
    <w:multiLevelType w:val="hybridMultilevel"/>
    <w:tmpl w:val="CCDA4A26"/>
    <w:lvl w:ilvl="0" w:tplc="AF68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5D32"/>
    <w:multiLevelType w:val="hybridMultilevel"/>
    <w:tmpl w:val="66E4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56FD"/>
    <w:multiLevelType w:val="hybridMultilevel"/>
    <w:tmpl w:val="97345426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51CC"/>
    <w:multiLevelType w:val="hybridMultilevel"/>
    <w:tmpl w:val="94D0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495F"/>
    <w:multiLevelType w:val="hybridMultilevel"/>
    <w:tmpl w:val="888AB61A"/>
    <w:lvl w:ilvl="0" w:tplc="B4188A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804A2E"/>
    <w:multiLevelType w:val="hybridMultilevel"/>
    <w:tmpl w:val="FDD4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6342"/>
    <w:multiLevelType w:val="hybridMultilevel"/>
    <w:tmpl w:val="BC56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96B54"/>
    <w:multiLevelType w:val="hybridMultilevel"/>
    <w:tmpl w:val="A9580FD2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E7060"/>
    <w:multiLevelType w:val="hybridMultilevel"/>
    <w:tmpl w:val="E2D6EB8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F8B3351"/>
    <w:multiLevelType w:val="hybridMultilevel"/>
    <w:tmpl w:val="EA7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C07E6"/>
    <w:multiLevelType w:val="hybridMultilevel"/>
    <w:tmpl w:val="649404E8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A2B62"/>
    <w:multiLevelType w:val="hybridMultilevel"/>
    <w:tmpl w:val="7702EEEE"/>
    <w:lvl w:ilvl="0" w:tplc="AFEC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5A9F"/>
    <w:multiLevelType w:val="hybridMultilevel"/>
    <w:tmpl w:val="7D42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47B47"/>
    <w:multiLevelType w:val="hybridMultilevel"/>
    <w:tmpl w:val="EB3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21FB"/>
    <w:multiLevelType w:val="hybridMultilevel"/>
    <w:tmpl w:val="C1848068"/>
    <w:lvl w:ilvl="0" w:tplc="9F90F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650C7"/>
    <w:multiLevelType w:val="hybridMultilevel"/>
    <w:tmpl w:val="3B2A1B76"/>
    <w:lvl w:ilvl="0" w:tplc="C7EEAFC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75364"/>
    <w:multiLevelType w:val="hybridMultilevel"/>
    <w:tmpl w:val="BED8E39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7"/>
  </w:num>
  <w:num w:numId="5">
    <w:abstractNumId w:val="22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18"/>
  </w:num>
  <w:num w:numId="13">
    <w:abstractNumId w:val="4"/>
  </w:num>
  <w:num w:numId="14">
    <w:abstractNumId w:val="26"/>
  </w:num>
  <w:num w:numId="15">
    <w:abstractNumId w:val="12"/>
  </w:num>
  <w:num w:numId="16">
    <w:abstractNumId w:val="24"/>
  </w:num>
  <w:num w:numId="17">
    <w:abstractNumId w:val="0"/>
  </w:num>
  <w:num w:numId="18">
    <w:abstractNumId w:val="16"/>
  </w:num>
  <w:num w:numId="19">
    <w:abstractNumId w:val="3"/>
  </w:num>
  <w:num w:numId="20">
    <w:abstractNumId w:val="9"/>
  </w:num>
  <w:num w:numId="21">
    <w:abstractNumId w:val="20"/>
  </w:num>
  <w:num w:numId="22">
    <w:abstractNumId w:val="23"/>
  </w:num>
  <w:num w:numId="23">
    <w:abstractNumId w:val="14"/>
  </w:num>
  <w:num w:numId="24">
    <w:abstractNumId w:val="25"/>
  </w:num>
  <w:num w:numId="25">
    <w:abstractNumId w:val="11"/>
  </w:num>
  <w:num w:numId="26">
    <w:abstractNumId w:val="10"/>
  </w:num>
  <w:num w:numId="27">
    <w:abstractNumId w:val="17"/>
  </w:num>
  <w:num w:numId="2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B6182"/>
    <w:rsid w:val="00153D87"/>
    <w:rsid w:val="001C597F"/>
    <w:rsid w:val="00214C57"/>
    <w:rsid w:val="002456DC"/>
    <w:rsid w:val="002C7896"/>
    <w:rsid w:val="00381955"/>
    <w:rsid w:val="00545344"/>
    <w:rsid w:val="00551E98"/>
    <w:rsid w:val="005A483D"/>
    <w:rsid w:val="00644539"/>
    <w:rsid w:val="0066634D"/>
    <w:rsid w:val="00693331"/>
    <w:rsid w:val="006938EE"/>
    <w:rsid w:val="00711436"/>
    <w:rsid w:val="0074091F"/>
    <w:rsid w:val="00767E2C"/>
    <w:rsid w:val="008218DF"/>
    <w:rsid w:val="0082386F"/>
    <w:rsid w:val="00827065"/>
    <w:rsid w:val="008C1A62"/>
    <w:rsid w:val="008D1B70"/>
    <w:rsid w:val="00942A1C"/>
    <w:rsid w:val="00A13081"/>
    <w:rsid w:val="00A33330"/>
    <w:rsid w:val="00A37C93"/>
    <w:rsid w:val="00A93677"/>
    <w:rsid w:val="00A9534A"/>
    <w:rsid w:val="00AB7A7D"/>
    <w:rsid w:val="00AC3068"/>
    <w:rsid w:val="00B0373F"/>
    <w:rsid w:val="00B57732"/>
    <w:rsid w:val="00BD16CB"/>
    <w:rsid w:val="00C13F9C"/>
    <w:rsid w:val="00C40DD6"/>
    <w:rsid w:val="00C64E9C"/>
    <w:rsid w:val="00C73169"/>
    <w:rsid w:val="00C7598C"/>
    <w:rsid w:val="00CC10D0"/>
    <w:rsid w:val="00CE1F59"/>
    <w:rsid w:val="00CF0853"/>
    <w:rsid w:val="00CF7AF0"/>
    <w:rsid w:val="00D8007E"/>
    <w:rsid w:val="00D95CB7"/>
    <w:rsid w:val="00DA7E7B"/>
    <w:rsid w:val="00EC37F2"/>
    <w:rsid w:val="00F338D1"/>
    <w:rsid w:val="00F410AB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,Footnote Reference BSA-AML Manual"/>
    <w:basedOn w:val="DefaultParagraphFont"/>
    <w:uiPriority w:val="99"/>
    <w:qFormat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H3 N,Bullet 1"/>
    <w:basedOn w:val="Normal"/>
    <w:link w:val="ListParagraphChar"/>
    <w:uiPriority w:val="1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character" w:customStyle="1" w:styleId="Heading1Char">
    <w:name w:val="Heading 1 Char"/>
    <w:basedOn w:val="DefaultParagraphFont"/>
    <w:link w:val="Heading1"/>
    <w:uiPriority w:val="9"/>
    <w:rsid w:val="00A9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H3 N Char,Bullet 1 Char"/>
    <w:basedOn w:val="DefaultParagraphFont"/>
    <w:link w:val="ListParagraph"/>
    <w:uiPriority w:val="1"/>
    <w:locked/>
    <w:rsid w:val="00767E2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3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24F17-10C4-614E-8A11-DCDD0B42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CPS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Adam J. Attard</cp:lastModifiedBy>
  <cp:revision>2</cp:revision>
  <dcterms:created xsi:type="dcterms:W3CDTF">2021-02-21T15:21:00Z</dcterms:created>
  <dcterms:modified xsi:type="dcterms:W3CDTF">2021-02-21T15:21:00Z</dcterms:modified>
</cp:coreProperties>
</file>