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F81D" w14:textId="77777777" w:rsidR="007C1396" w:rsidRDefault="007C1396" w:rsidP="007C1396">
      <w:pPr>
        <w:pStyle w:val="Head3-BSA-AML"/>
      </w:pPr>
      <w:bookmarkStart w:id="0" w:name="_Toc135558562"/>
      <w:r w:rsidRPr="00184194">
        <w:rPr>
          <w:sz w:val="36"/>
          <w:szCs w:val="36"/>
        </w:rPr>
        <w:t>Examination Procedures</w:t>
      </w:r>
    </w:p>
    <w:p w14:paraId="2B375D1C" w14:textId="77777777" w:rsidR="007C1396" w:rsidRDefault="007C1396" w:rsidP="007C1396">
      <w:pPr>
        <w:pStyle w:val="Head4-BSA-AML"/>
        <w:jc w:val="center"/>
      </w:pPr>
      <w:r>
        <w:t>Funds Transfers Recordkeeping</w:t>
      </w:r>
      <w:bookmarkEnd w:id="0"/>
    </w:p>
    <w:p w14:paraId="05FBB64B" w14:textId="77777777" w:rsidR="007C1396" w:rsidRPr="000542B1" w:rsidRDefault="007C1396" w:rsidP="007C1396">
      <w:pPr>
        <w:pStyle w:val="Body-BSA-AML"/>
        <w:rPr>
          <w:i/>
        </w:rPr>
      </w:pPr>
      <w:r w:rsidRPr="000542B1">
        <w:rPr>
          <w:rStyle w:val="Head7-BSA-AMLChar"/>
        </w:rPr>
        <w:t>Objective.</w:t>
      </w:r>
      <w:r w:rsidRPr="000542B1">
        <w:t xml:space="preserve"> </w:t>
      </w:r>
      <w:r>
        <w:t xml:space="preserve"> </w:t>
      </w:r>
      <w:r w:rsidRPr="000542B1">
        <w:rPr>
          <w:i/>
        </w:rPr>
        <w:t>Assess the bank’s compliance with statutory and regulatory requirements for funds transfers.  This section covers the regulatory requirements as set forth in the BSA.  Refer to the expanded sections of this manual for discussions and procedures regarding specific money laundering risks for funds transfer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5392"/>
      </w:tblGrid>
      <w:tr w:rsidR="007C1396" w:rsidRPr="00EC4C3D" w14:paraId="1FC34987" w14:textId="77777777" w:rsidTr="00FD77C2">
        <w:trPr>
          <w:tblHeader/>
        </w:trPr>
        <w:tc>
          <w:tcPr>
            <w:tcW w:w="5508" w:type="dxa"/>
            <w:tcBorders>
              <w:bottom w:val="single" w:sz="4" w:space="0" w:color="auto"/>
            </w:tcBorders>
            <w:shd w:val="clear" w:color="auto" w:fill="E0E0E0"/>
          </w:tcPr>
          <w:p w14:paraId="248D1ACA" w14:textId="77777777" w:rsidR="007C1396" w:rsidRPr="00EC4C3D" w:rsidRDefault="007C1396"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54496C0E" w14:textId="77777777" w:rsidR="007C1396" w:rsidRPr="00EC4C3D" w:rsidRDefault="007C1396" w:rsidP="00FD77C2">
            <w:pPr>
              <w:rPr>
                <w:b/>
                <w:sz w:val="28"/>
                <w:szCs w:val="28"/>
              </w:rPr>
            </w:pPr>
            <w:r w:rsidRPr="00EC4C3D">
              <w:rPr>
                <w:b/>
                <w:sz w:val="28"/>
                <w:szCs w:val="28"/>
              </w:rPr>
              <w:t>Comments</w:t>
            </w:r>
          </w:p>
        </w:tc>
      </w:tr>
      <w:tr w:rsidR="007C1396" w:rsidRPr="00EC4C3D" w14:paraId="4DD08636" w14:textId="77777777" w:rsidTr="00FD77C2">
        <w:trPr>
          <w:tblHeader/>
        </w:trPr>
        <w:tc>
          <w:tcPr>
            <w:tcW w:w="5508" w:type="dxa"/>
            <w:shd w:val="clear" w:color="auto" w:fill="auto"/>
          </w:tcPr>
          <w:p w14:paraId="21E87DDC" w14:textId="77777777" w:rsidR="007C1396" w:rsidRPr="00EC4C3D" w:rsidRDefault="007C1396" w:rsidP="007C1396">
            <w:pPr>
              <w:numPr>
                <w:ilvl w:val="0"/>
                <w:numId w:val="34"/>
              </w:numPr>
              <w:rPr>
                <w:sz w:val="22"/>
                <w:szCs w:val="22"/>
              </w:rPr>
            </w:pPr>
            <w:r w:rsidRPr="00EC4C3D">
              <w:rPr>
                <w:sz w:val="22"/>
                <w:szCs w:val="22"/>
              </w:rPr>
              <w:t xml:space="preserve">Verify that the bank obtains and maintains appropriate records for compliance with </w:t>
            </w:r>
            <w:r>
              <w:rPr>
                <w:sz w:val="22"/>
                <w:szCs w:val="22"/>
              </w:rPr>
              <w:t>31 CFR 1020.410(a)</w:t>
            </w:r>
            <w:r w:rsidRPr="00EC4C3D">
              <w:rPr>
                <w:sz w:val="22"/>
                <w:szCs w:val="22"/>
              </w:rPr>
              <w:t>.</w:t>
            </w:r>
          </w:p>
        </w:tc>
        <w:tc>
          <w:tcPr>
            <w:tcW w:w="5508" w:type="dxa"/>
            <w:shd w:val="clear" w:color="auto" w:fill="auto"/>
          </w:tcPr>
          <w:p w14:paraId="6F313524" w14:textId="77777777" w:rsidR="007C1396" w:rsidRPr="00EC4C3D" w:rsidRDefault="007C1396" w:rsidP="00FD77C2">
            <w:pPr>
              <w:rPr>
                <w:sz w:val="28"/>
                <w:szCs w:val="28"/>
              </w:rPr>
            </w:pPr>
          </w:p>
        </w:tc>
      </w:tr>
      <w:tr w:rsidR="007C1396" w:rsidRPr="00EC4C3D" w14:paraId="35310E1D" w14:textId="77777777" w:rsidTr="00FD77C2">
        <w:trPr>
          <w:tblHeader/>
        </w:trPr>
        <w:tc>
          <w:tcPr>
            <w:tcW w:w="5508" w:type="dxa"/>
            <w:shd w:val="clear" w:color="auto" w:fill="auto"/>
          </w:tcPr>
          <w:p w14:paraId="53B9A141" w14:textId="77777777" w:rsidR="007C1396" w:rsidRPr="00EC4C3D" w:rsidRDefault="007C1396" w:rsidP="007C1396">
            <w:pPr>
              <w:numPr>
                <w:ilvl w:val="0"/>
                <w:numId w:val="34"/>
              </w:numPr>
              <w:rPr>
                <w:sz w:val="22"/>
                <w:szCs w:val="22"/>
              </w:rPr>
            </w:pPr>
            <w:r w:rsidRPr="00EC4C3D">
              <w:rPr>
                <w:sz w:val="22"/>
                <w:szCs w:val="22"/>
              </w:rPr>
              <w:t xml:space="preserve">Verify that the bank transmits payment information as required by </w:t>
            </w:r>
            <w:r>
              <w:rPr>
                <w:sz w:val="22"/>
                <w:szCs w:val="22"/>
              </w:rPr>
              <w:t xml:space="preserve">31 CFR 1010.410(f) </w:t>
            </w:r>
            <w:r w:rsidRPr="00EC4C3D">
              <w:rPr>
                <w:sz w:val="22"/>
                <w:szCs w:val="22"/>
              </w:rPr>
              <w:t>(the “Travel Rule”).</w:t>
            </w:r>
          </w:p>
        </w:tc>
        <w:tc>
          <w:tcPr>
            <w:tcW w:w="5508" w:type="dxa"/>
            <w:shd w:val="clear" w:color="auto" w:fill="auto"/>
          </w:tcPr>
          <w:p w14:paraId="136C1A13" w14:textId="77777777" w:rsidR="007C1396" w:rsidRPr="00EC4C3D" w:rsidRDefault="007C1396" w:rsidP="00FD77C2">
            <w:pPr>
              <w:rPr>
                <w:sz w:val="28"/>
                <w:szCs w:val="28"/>
              </w:rPr>
            </w:pPr>
          </w:p>
        </w:tc>
      </w:tr>
      <w:tr w:rsidR="007C1396" w:rsidRPr="00EC4C3D" w14:paraId="116AC614" w14:textId="77777777" w:rsidTr="00FD77C2">
        <w:trPr>
          <w:tblHeader/>
        </w:trPr>
        <w:tc>
          <w:tcPr>
            <w:tcW w:w="5508" w:type="dxa"/>
            <w:shd w:val="clear" w:color="auto" w:fill="auto"/>
          </w:tcPr>
          <w:p w14:paraId="35F745C1" w14:textId="77777777" w:rsidR="007C1396" w:rsidRPr="00EC4C3D" w:rsidRDefault="007C1396" w:rsidP="007C1396">
            <w:pPr>
              <w:numPr>
                <w:ilvl w:val="0"/>
                <w:numId w:val="34"/>
              </w:numPr>
              <w:rPr>
                <w:sz w:val="22"/>
                <w:szCs w:val="22"/>
              </w:rPr>
            </w:pPr>
            <w:r w:rsidRPr="00EC4C3D">
              <w:rPr>
                <w:sz w:val="22"/>
                <w:szCs w:val="22"/>
              </w:rPr>
              <w:t>Verify that the bank files CTRs when currency is received or dispersed in a funds transfer that exceeds $10,000.</w:t>
            </w:r>
          </w:p>
        </w:tc>
        <w:tc>
          <w:tcPr>
            <w:tcW w:w="5508" w:type="dxa"/>
            <w:shd w:val="clear" w:color="auto" w:fill="auto"/>
          </w:tcPr>
          <w:p w14:paraId="6A3BC112" w14:textId="77777777" w:rsidR="007C1396" w:rsidRPr="00EC4C3D" w:rsidRDefault="007C1396" w:rsidP="00FD77C2">
            <w:pPr>
              <w:rPr>
                <w:sz w:val="28"/>
                <w:szCs w:val="28"/>
              </w:rPr>
            </w:pPr>
          </w:p>
        </w:tc>
      </w:tr>
      <w:tr w:rsidR="007C1396" w:rsidRPr="00EC4C3D" w14:paraId="17B55028" w14:textId="77777777" w:rsidTr="00FD77C2">
        <w:trPr>
          <w:tblHeader/>
        </w:trPr>
        <w:tc>
          <w:tcPr>
            <w:tcW w:w="5508" w:type="dxa"/>
            <w:shd w:val="clear" w:color="auto" w:fill="auto"/>
          </w:tcPr>
          <w:p w14:paraId="483DAE61" w14:textId="77777777" w:rsidR="007C1396" w:rsidRPr="00EC4C3D" w:rsidRDefault="007C1396" w:rsidP="007C1396">
            <w:pPr>
              <w:numPr>
                <w:ilvl w:val="0"/>
                <w:numId w:val="34"/>
              </w:numPr>
              <w:rPr>
                <w:sz w:val="22"/>
                <w:szCs w:val="22"/>
              </w:rPr>
            </w:pPr>
            <w:r w:rsidRPr="00EC4C3D">
              <w:rPr>
                <w:sz w:val="22"/>
                <w:szCs w:val="22"/>
              </w:rPr>
              <w:t>If the bank sends or receives funds transfers to or from institutions in other countries, especially those with strict privacy and secrecy laws, assess whether the bank has policies, procedures, and processes to determine whether amounts, the frequency of the transfer, and countries of origin or destination are consistent with the nature of the business or occupation of the customer.</w:t>
            </w:r>
          </w:p>
        </w:tc>
        <w:tc>
          <w:tcPr>
            <w:tcW w:w="5508" w:type="dxa"/>
            <w:shd w:val="clear" w:color="auto" w:fill="auto"/>
          </w:tcPr>
          <w:p w14:paraId="0157932A" w14:textId="77777777" w:rsidR="007C1396" w:rsidRPr="00EC4C3D" w:rsidRDefault="007C1396" w:rsidP="00FD77C2">
            <w:pPr>
              <w:rPr>
                <w:sz w:val="22"/>
                <w:szCs w:val="22"/>
              </w:rPr>
            </w:pPr>
          </w:p>
        </w:tc>
      </w:tr>
      <w:tr w:rsidR="007C1396" w:rsidRPr="00EC4C3D" w14:paraId="636A2479" w14:textId="77777777" w:rsidTr="00FD77C2">
        <w:trPr>
          <w:tblHeader/>
        </w:trPr>
        <w:tc>
          <w:tcPr>
            <w:tcW w:w="11016" w:type="dxa"/>
            <w:gridSpan w:val="2"/>
            <w:shd w:val="clear" w:color="auto" w:fill="auto"/>
          </w:tcPr>
          <w:p w14:paraId="21D0D438" w14:textId="77777777" w:rsidR="007C1396" w:rsidRPr="00EC4C3D" w:rsidRDefault="007C1396" w:rsidP="00FD77C2">
            <w:pPr>
              <w:rPr>
                <w:b/>
                <w:sz w:val="28"/>
                <w:szCs w:val="28"/>
              </w:rPr>
            </w:pPr>
            <w:r w:rsidRPr="00EC4C3D">
              <w:rPr>
                <w:b/>
                <w:sz w:val="28"/>
                <w:szCs w:val="28"/>
              </w:rPr>
              <w:t>Transaction Testing</w:t>
            </w:r>
          </w:p>
        </w:tc>
      </w:tr>
      <w:tr w:rsidR="007C1396" w:rsidRPr="00EC4C3D" w14:paraId="2FFE9630" w14:textId="77777777" w:rsidTr="00FD77C2">
        <w:trPr>
          <w:tblHeader/>
        </w:trPr>
        <w:tc>
          <w:tcPr>
            <w:tcW w:w="5508" w:type="dxa"/>
            <w:shd w:val="clear" w:color="auto" w:fill="auto"/>
          </w:tcPr>
          <w:p w14:paraId="7A061A05" w14:textId="77777777" w:rsidR="007C1396" w:rsidRPr="00EC4C3D" w:rsidRDefault="007C1396" w:rsidP="007C1396">
            <w:pPr>
              <w:numPr>
                <w:ilvl w:val="0"/>
                <w:numId w:val="34"/>
              </w:numPr>
              <w:rPr>
                <w:sz w:val="22"/>
                <w:szCs w:val="22"/>
              </w:rPr>
            </w:pPr>
            <w:r w:rsidRPr="00EC4C3D">
              <w:rPr>
                <w:bCs/>
                <w:sz w:val="22"/>
                <w:szCs w:val="22"/>
              </w:rPr>
              <w:t xml:space="preserve">On the basis of a risk assessment, prior examination reports, and a review of the bank’s audit findings, select a sample of </w:t>
            </w:r>
            <w:r w:rsidRPr="00EC4C3D">
              <w:rPr>
                <w:sz w:val="22"/>
                <w:szCs w:val="22"/>
              </w:rPr>
              <w:t>funds transfers processed as an originator’s bank, an intermediary bank, and a beneficiary’s bank to ensure the institution collects, maintains, or transmits the required information, depending on the institution’s role in the transfer.</w:t>
            </w:r>
          </w:p>
        </w:tc>
        <w:tc>
          <w:tcPr>
            <w:tcW w:w="5508" w:type="dxa"/>
            <w:shd w:val="clear" w:color="auto" w:fill="auto"/>
          </w:tcPr>
          <w:p w14:paraId="57213517" w14:textId="77777777" w:rsidR="007C1396" w:rsidRPr="00EC4C3D" w:rsidRDefault="007C1396" w:rsidP="00FD77C2">
            <w:pPr>
              <w:rPr>
                <w:sz w:val="22"/>
                <w:szCs w:val="22"/>
              </w:rPr>
            </w:pPr>
          </w:p>
        </w:tc>
      </w:tr>
      <w:tr w:rsidR="007C1396" w:rsidRPr="00EC4C3D" w14:paraId="6870A5E8" w14:textId="77777777" w:rsidTr="00FD77C2">
        <w:trPr>
          <w:tblHeader/>
        </w:trPr>
        <w:tc>
          <w:tcPr>
            <w:tcW w:w="5508" w:type="dxa"/>
            <w:shd w:val="clear" w:color="auto" w:fill="auto"/>
          </w:tcPr>
          <w:p w14:paraId="54D47951" w14:textId="77777777" w:rsidR="007C1396" w:rsidRPr="00EC4C3D" w:rsidRDefault="007C1396" w:rsidP="007C1396">
            <w:pPr>
              <w:numPr>
                <w:ilvl w:val="0"/>
                <w:numId w:val="34"/>
              </w:numPr>
              <w:rPr>
                <w:bCs/>
                <w:sz w:val="22"/>
                <w:szCs w:val="22"/>
              </w:rPr>
            </w:pPr>
            <w:r w:rsidRPr="00EC4C3D">
              <w:rPr>
                <w:bCs/>
                <w:sz w:val="22"/>
                <w:szCs w:val="22"/>
              </w:rPr>
              <w:t xml:space="preserve">On the basis of </w:t>
            </w:r>
            <w:r w:rsidRPr="00EC4C3D">
              <w:rPr>
                <w:sz w:val="22"/>
                <w:szCs w:val="22"/>
              </w:rPr>
              <w:t xml:space="preserve">examination </w:t>
            </w:r>
            <w:r w:rsidRPr="00EC4C3D">
              <w:rPr>
                <w:bCs/>
                <w:sz w:val="22"/>
                <w:szCs w:val="22"/>
              </w:rPr>
              <w:t xml:space="preserve">procedures </w:t>
            </w:r>
            <w:r w:rsidRPr="00EC4C3D">
              <w:rPr>
                <w:sz w:val="22"/>
                <w:szCs w:val="22"/>
              </w:rPr>
              <w:t>completed, including transaction testing, form a conclusion about the ability of policies, procedures, and processes to meet regulatory requirements associated with funds transfers.</w:t>
            </w:r>
          </w:p>
        </w:tc>
        <w:tc>
          <w:tcPr>
            <w:tcW w:w="5508" w:type="dxa"/>
            <w:shd w:val="clear" w:color="auto" w:fill="auto"/>
          </w:tcPr>
          <w:p w14:paraId="763EF602" w14:textId="77777777" w:rsidR="007C1396" w:rsidRPr="00EC4C3D" w:rsidRDefault="007C1396" w:rsidP="00FD77C2">
            <w:pPr>
              <w:rPr>
                <w:sz w:val="22"/>
                <w:szCs w:val="22"/>
              </w:rPr>
            </w:pPr>
          </w:p>
        </w:tc>
      </w:tr>
      <w:tr w:rsidR="007C1396" w:rsidRPr="00EC4C3D" w14:paraId="131B84AB" w14:textId="77777777" w:rsidTr="00FD77C2">
        <w:trPr>
          <w:tblHeader/>
        </w:trPr>
        <w:tc>
          <w:tcPr>
            <w:tcW w:w="5508" w:type="dxa"/>
            <w:tcBorders>
              <w:bottom w:val="single" w:sz="4" w:space="0" w:color="auto"/>
            </w:tcBorders>
            <w:shd w:val="clear" w:color="auto" w:fill="auto"/>
          </w:tcPr>
          <w:p w14:paraId="4499A6CC" w14:textId="77777777" w:rsidR="007C1396" w:rsidRPr="00EC4C3D" w:rsidRDefault="007C1396" w:rsidP="007C1396">
            <w:pPr>
              <w:numPr>
                <w:ilvl w:val="0"/>
                <w:numId w:val="34"/>
              </w:numPr>
              <w:rPr>
                <w:bCs/>
                <w:sz w:val="22"/>
                <w:szCs w:val="22"/>
              </w:rPr>
            </w:pPr>
            <w:r w:rsidRPr="00EC4C3D">
              <w:rPr>
                <w:bCs/>
                <w:sz w:val="22"/>
                <w:szCs w:val="22"/>
              </w:rPr>
              <w:t>On the basis of</w:t>
            </w:r>
            <w:r w:rsidRPr="00EC4C3D">
              <w:rPr>
                <w:sz w:val="22"/>
                <w:szCs w:val="22"/>
              </w:rPr>
              <w:t xml:space="preserve"> the previous conclusion and the risks associated with the bank’s activity in this area, proceed to expanded examination procedures, if necessary.</w:t>
            </w:r>
          </w:p>
        </w:tc>
        <w:tc>
          <w:tcPr>
            <w:tcW w:w="5508" w:type="dxa"/>
            <w:tcBorders>
              <w:bottom w:val="single" w:sz="4" w:space="0" w:color="auto"/>
            </w:tcBorders>
            <w:shd w:val="clear" w:color="auto" w:fill="auto"/>
          </w:tcPr>
          <w:p w14:paraId="55A0C111" w14:textId="77777777" w:rsidR="007C1396" w:rsidRPr="00EC4C3D" w:rsidRDefault="007C1396" w:rsidP="00FD77C2">
            <w:pPr>
              <w:rPr>
                <w:sz w:val="22"/>
                <w:szCs w:val="22"/>
              </w:rPr>
            </w:pPr>
          </w:p>
        </w:tc>
      </w:tr>
    </w:tbl>
    <w:p w14:paraId="39A1F16E" w14:textId="77777777" w:rsidR="008218DF" w:rsidRPr="007C1396" w:rsidRDefault="008218DF" w:rsidP="007C1396">
      <w:bookmarkStart w:id="1" w:name="_GoBack"/>
      <w:bookmarkEnd w:id="1"/>
    </w:p>
    <w:sectPr w:rsidR="008218DF" w:rsidRPr="007C1396" w:rsidSect="00C73169">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11ACE4" w14:textId="77777777" w:rsidR="001C597F" w:rsidRDefault="001C597F" w:rsidP="001C59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0AE9" w14:textId="77777777" w:rsidR="00644539" w:rsidRDefault="0064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D958137" w14:textId="77777777" w:rsidR="001C597F" w:rsidRDefault="001C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BDD6" w14:textId="77777777" w:rsidR="00644539" w:rsidRDefault="0064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0DD"/>
    <w:multiLevelType w:val="hybridMultilevel"/>
    <w:tmpl w:val="AD3678B6"/>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368"/>
    <w:multiLevelType w:val="hybridMultilevel"/>
    <w:tmpl w:val="8D34B070"/>
    <w:lvl w:ilvl="0" w:tplc="42CE6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7F77"/>
    <w:multiLevelType w:val="hybridMultilevel"/>
    <w:tmpl w:val="A2B20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A54BDD"/>
    <w:multiLevelType w:val="hybridMultilevel"/>
    <w:tmpl w:val="D01A2D4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8717FF"/>
    <w:multiLevelType w:val="hybridMultilevel"/>
    <w:tmpl w:val="0BE49AC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1E3F32"/>
    <w:multiLevelType w:val="hybridMultilevel"/>
    <w:tmpl w:val="3DB8495E"/>
    <w:lvl w:ilvl="0" w:tplc="BC0A5B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2409E"/>
    <w:multiLevelType w:val="hybridMultilevel"/>
    <w:tmpl w:val="40A8D1BC"/>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13E12"/>
    <w:multiLevelType w:val="hybridMultilevel"/>
    <w:tmpl w:val="13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F07F9"/>
    <w:multiLevelType w:val="hybridMultilevel"/>
    <w:tmpl w:val="1B90C6B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260214"/>
    <w:multiLevelType w:val="hybridMultilevel"/>
    <w:tmpl w:val="BE148E44"/>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24C13"/>
    <w:multiLevelType w:val="hybridMultilevel"/>
    <w:tmpl w:val="21B6B3D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FDE6968"/>
    <w:multiLevelType w:val="hybridMultilevel"/>
    <w:tmpl w:val="224AB41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16547E"/>
    <w:multiLevelType w:val="hybridMultilevel"/>
    <w:tmpl w:val="45BEE5E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433C86"/>
    <w:multiLevelType w:val="hybridMultilevel"/>
    <w:tmpl w:val="5644FB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8256FD"/>
    <w:multiLevelType w:val="hybridMultilevel"/>
    <w:tmpl w:val="9734542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AD495F"/>
    <w:multiLevelType w:val="hybridMultilevel"/>
    <w:tmpl w:val="888AB61A"/>
    <w:lvl w:ilvl="0" w:tplc="B4188A8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9566FC"/>
    <w:multiLevelType w:val="hybridMultilevel"/>
    <w:tmpl w:val="58008D2A"/>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96B54"/>
    <w:multiLevelType w:val="hybridMultilevel"/>
    <w:tmpl w:val="A9580FD2"/>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E7060"/>
    <w:multiLevelType w:val="hybridMultilevel"/>
    <w:tmpl w:val="E2D6EB8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5AF374FC"/>
    <w:multiLevelType w:val="hybridMultilevel"/>
    <w:tmpl w:val="BA5840E6"/>
    <w:lvl w:ilvl="0" w:tplc="72767F5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41267"/>
    <w:multiLevelType w:val="hybridMultilevel"/>
    <w:tmpl w:val="76D69188"/>
    <w:lvl w:ilvl="0" w:tplc="04090001">
      <w:start w:val="1"/>
      <w:numFmt w:val="bullet"/>
      <w:lvlText w:val=""/>
      <w:lvlJc w:val="left"/>
      <w:pPr>
        <w:tabs>
          <w:tab w:val="num" w:pos="720"/>
        </w:tabs>
        <w:ind w:left="720" w:hanging="360"/>
      </w:pPr>
      <w:rPr>
        <w:rFonts w:ascii="Symbol" w:hAnsi="Symbol" w:hint="default"/>
      </w:rPr>
    </w:lvl>
    <w:lvl w:ilvl="1" w:tplc="A1389002">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3C07E6"/>
    <w:multiLevelType w:val="hybridMultilevel"/>
    <w:tmpl w:val="649404E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7A2B62"/>
    <w:multiLevelType w:val="hybridMultilevel"/>
    <w:tmpl w:val="7702EE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04B2D"/>
    <w:multiLevelType w:val="hybridMultilevel"/>
    <w:tmpl w:val="8FEE079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75081D"/>
    <w:multiLevelType w:val="hybridMultilevel"/>
    <w:tmpl w:val="D9E6D3C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650C7"/>
    <w:multiLevelType w:val="hybridMultilevel"/>
    <w:tmpl w:val="3B2A1B76"/>
    <w:lvl w:ilvl="0" w:tplc="C7EEAFCE">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8420C"/>
    <w:multiLevelType w:val="hybridMultilevel"/>
    <w:tmpl w:val="2B28E86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A308FC"/>
    <w:multiLevelType w:val="hybridMultilevel"/>
    <w:tmpl w:val="0C9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62197"/>
    <w:multiLevelType w:val="hybridMultilevel"/>
    <w:tmpl w:val="BCF0BB58"/>
    <w:lvl w:ilvl="0" w:tplc="4D005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61008"/>
    <w:multiLevelType w:val="hybridMultilevel"/>
    <w:tmpl w:val="5F4A323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75364"/>
    <w:multiLevelType w:val="hybridMultilevel"/>
    <w:tmpl w:val="BED8E398"/>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10"/>
  </w:num>
  <w:num w:numId="4">
    <w:abstractNumId w:val="33"/>
  </w:num>
  <w:num w:numId="5">
    <w:abstractNumId w:val="25"/>
  </w:num>
  <w:num w:numId="6">
    <w:abstractNumId w:val="17"/>
  </w:num>
  <w:num w:numId="7">
    <w:abstractNumId w:val="5"/>
  </w:num>
  <w:num w:numId="8">
    <w:abstractNumId w:val="1"/>
  </w:num>
  <w:num w:numId="9">
    <w:abstractNumId w:val="8"/>
  </w:num>
  <w:num w:numId="10">
    <w:abstractNumId w:val="20"/>
  </w:num>
  <w:num w:numId="11">
    <w:abstractNumId w:val="23"/>
  </w:num>
  <w:num w:numId="12">
    <w:abstractNumId w:val="19"/>
  </w:num>
  <w:num w:numId="13">
    <w:abstractNumId w:val="6"/>
  </w:num>
  <w:num w:numId="14">
    <w:abstractNumId w:val="28"/>
  </w:num>
  <w:num w:numId="15">
    <w:abstractNumId w:val="15"/>
  </w:num>
  <w:num w:numId="16">
    <w:abstractNumId w:val="11"/>
  </w:num>
  <w:num w:numId="17">
    <w:abstractNumId w:val="26"/>
  </w:num>
  <w:num w:numId="18">
    <w:abstractNumId w:val="29"/>
  </w:num>
  <w:num w:numId="19">
    <w:abstractNumId w:val="4"/>
  </w:num>
  <w:num w:numId="20">
    <w:abstractNumId w:val="9"/>
  </w:num>
  <w:num w:numId="21">
    <w:abstractNumId w:val="32"/>
  </w:num>
  <w:num w:numId="22">
    <w:abstractNumId w:val="24"/>
  </w:num>
  <w:num w:numId="23">
    <w:abstractNumId w:val="0"/>
  </w:num>
  <w:num w:numId="24">
    <w:abstractNumId w:val="18"/>
  </w:num>
  <w:num w:numId="25">
    <w:abstractNumId w:val="14"/>
  </w:num>
  <w:num w:numId="26">
    <w:abstractNumId w:val="12"/>
  </w:num>
  <w:num w:numId="27">
    <w:abstractNumId w:val="22"/>
  </w:num>
  <w:num w:numId="28">
    <w:abstractNumId w:val="27"/>
  </w:num>
  <w:num w:numId="29">
    <w:abstractNumId w:val="31"/>
  </w:num>
  <w:num w:numId="30">
    <w:abstractNumId w:val="21"/>
  </w:num>
  <w:num w:numId="31">
    <w:abstractNumId w:val="30"/>
  </w:num>
  <w:num w:numId="32">
    <w:abstractNumId w:val="3"/>
  </w:num>
  <w:num w:numId="33">
    <w:abstractNumId w:val="13"/>
  </w:num>
  <w:num w:numId="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B6182"/>
    <w:rsid w:val="00153D87"/>
    <w:rsid w:val="001C597F"/>
    <w:rsid w:val="00214C57"/>
    <w:rsid w:val="002456DC"/>
    <w:rsid w:val="002C7896"/>
    <w:rsid w:val="00381955"/>
    <w:rsid w:val="0049515A"/>
    <w:rsid w:val="004B1A48"/>
    <w:rsid w:val="00545344"/>
    <w:rsid w:val="00551E98"/>
    <w:rsid w:val="005A483D"/>
    <w:rsid w:val="005F5D49"/>
    <w:rsid w:val="00644539"/>
    <w:rsid w:val="0066634D"/>
    <w:rsid w:val="00693331"/>
    <w:rsid w:val="006938EE"/>
    <w:rsid w:val="00711436"/>
    <w:rsid w:val="0074091F"/>
    <w:rsid w:val="007C1396"/>
    <w:rsid w:val="008218DF"/>
    <w:rsid w:val="0082386F"/>
    <w:rsid w:val="00827065"/>
    <w:rsid w:val="008C1A62"/>
    <w:rsid w:val="008D1B70"/>
    <w:rsid w:val="00942A1C"/>
    <w:rsid w:val="009A7808"/>
    <w:rsid w:val="00A13081"/>
    <w:rsid w:val="00A33330"/>
    <w:rsid w:val="00A37C93"/>
    <w:rsid w:val="00A9534A"/>
    <w:rsid w:val="00AB7A7D"/>
    <w:rsid w:val="00AC3068"/>
    <w:rsid w:val="00B0373F"/>
    <w:rsid w:val="00B57732"/>
    <w:rsid w:val="00BD16CB"/>
    <w:rsid w:val="00C40DD6"/>
    <w:rsid w:val="00C73169"/>
    <w:rsid w:val="00C7598C"/>
    <w:rsid w:val="00CC10D0"/>
    <w:rsid w:val="00CE1F59"/>
    <w:rsid w:val="00CF0853"/>
    <w:rsid w:val="00CF7AF0"/>
    <w:rsid w:val="00D8007E"/>
    <w:rsid w:val="00D95CB7"/>
    <w:rsid w:val="00DA7E7B"/>
    <w:rsid w:val="00EC37F2"/>
    <w:rsid w:val="00F338D1"/>
    <w:rsid w:val="00F410AB"/>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22"/>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46E2-92B7-E64E-8B92-2AA12334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CPS</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2018-06-06T15:04:00Z</dcterms:created>
  <dcterms:modified xsi:type="dcterms:W3CDTF">2018-06-06T15:04:00Z</dcterms:modified>
</cp:coreProperties>
</file>