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DE18" w14:textId="21A3604C" w:rsidR="0095023D" w:rsidRPr="00EB6AEE" w:rsidRDefault="006B0C53" w:rsidP="0095023D">
      <w:pPr>
        <w:pStyle w:val="Body-BSA-AML"/>
        <w:spacing w:before="200"/>
        <w:jc w:val="center"/>
        <w:rPr>
          <w:rStyle w:val="Emphasis"/>
          <w:b/>
          <w:bCs/>
          <w:i w:val="0"/>
          <w:iCs w:val="0"/>
          <w:caps/>
          <w:color w:val="000000"/>
          <w:sz w:val="32"/>
          <w:szCs w:val="32"/>
        </w:rPr>
      </w:pPr>
      <w:r w:rsidRPr="00EB6AEE">
        <w:rPr>
          <w:rStyle w:val="Emphasis"/>
          <w:b/>
          <w:bCs/>
          <w:i w:val="0"/>
          <w:iCs w:val="0"/>
          <w:caps/>
          <w:color w:val="000000"/>
          <w:sz w:val="32"/>
          <w:szCs w:val="32"/>
        </w:rPr>
        <w:t>D</w:t>
      </w:r>
      <w:r w:rsidR="009A453B">
        <w:rPr>
          <w:rStyle w:val="Emphasis"/>
          <w:b/>
          <w:bCs/>
          <w:i w:val="0"/>
          <w:iCs w:val="0"/>
          <w:caps/>
          <w:color w:val="000000"/>
          <w:sz w:val="32"/>
          <w:szCs w:val="32"/>
        </w:rPr>
        <w:t>UE DILIGENCE PROGRAMS FOR CORRESPONDENT ACCOUNTS FOR FOREIGN FINANCIAL INSTITUTIONS examination and testing procedures</w:t>
      </w:r>
    </w:p>
    <w:p w14:paraId="540E31D8" w14:textId="77777777" w:rsidR="009A453B" w:rsidRPr="00087F37" w:rsidRDefault="009A453B" w:rsidP="009A453B">
      <w:pPr>
        <w:pStyle w:val="Body-BSA-AML"/>
        <w:spacing w:before="200"/>
        <w:rPr>
          <w:szCs w:val="24"/>
        </w:rPr>
      </w:pPr>
      <w:bookmarkStart w:id="0" w:name="_Hlk126764029"/>
      <w:r w:rsidRPr="00087F37">
        <w:rPr>
          <w:rStyle w:val="Head7-BSA-AMLCharChar"/>
          <w:rFonts w:eastAsiaTheme="majorEastAsia"/>
        </w:rPr>
        <w:t xml:space="preserve">Objective:  </w:t>
      </w:r>
      <w:r w:rsidRPr="00087F37">
        <w:rPr>
          <w:i/>
          <w:iCs/>
          <w:szCs w:val="24"/>
        </w:rPr>
        <w:t xml:space="preserve">Assess the bank’s compliance with the Bank Secrecy Act (BSA) regulatory requirements regarding </w:t>
      </w:r>
      <w:r w:rsidRPr="00087F37">
        <w:rPr>
          <w:i/>
          <w:szCs w:val="24"/>
        </w:rPr>
        <w:t>due diligence programs for correspondent accounts established, maintained, administered, or managed</w:t>
      </w:r>
      <w:r w:rsidRPr="00087F37">
        <w:rPr>
          <w:szCs w:val="24"/>
        </w:rPr>
        <w:t xml:space="preserve"> </w:t>
      </w:r>
      <w:r w:rsidRPr="00087F37">
        <w:rPr>
          <w:i/>
          <w:szCs w:val="24"/>
        </w:rPr>
        <w:t>for foreign financial institutions,</w:t>
      </w:r>
      <w:r w:rsidRPr="00087F37">
        <w:rPr>
          <w:i/>
          <w:iCs/>
          <w:szCs w:val="24"/>
        </w:rPr>
        <w:t xml:space="preserve"> to detect and report money laundering and any potential suspicious activity</w:t>
      </w:r>
      <w:r w:rsidRPr="00087F37">
        <w:rPr>
          <w:i/>
          <w:szCs w:val="24"/>
        </w:rPr>
        <w:t xml:space="preserve">.  </w:t>
      </w:r>
    </w:p>
    <w:tbl>
      <w:tblPr>
        <w:tblStyle w:val="TableGrid"/>
        <w:tblW w:w="10885" w:type="dxa"/>
        <w:tblLook w:val="04A0" w:firstRow="1" w:lastRow="0" w:firstColumn="1" w:lastColumn="0" w:noHBand="0" w:noVBand="1"/>
      </w:tblPr>
      <w:tblGrid>
        <w:gridCol w:w="5755"/>
        <w:gridCol w:w="5130"/>
      </w:tblGrid>
      <w:tr w:rsidR="00A60694" w:rsidRPr="008F01C3" w14:paraId="02A6CF9C" w14:textId="77777777" w:rsidTr="001234BF">
        <w:trPr>
          <w:trHeight w:hRule="exact" w:val="432"/>
          <w:tblHeader/>
        </w:trPr>
        <w:tc>
          <w:tcPr>
            <w:tcW w:w="5755" w:type="dxa"/>
            <w:shd w:val="clear" w:color="auto" w:fill="D9D9D9" w:themeFill="background1" w:themeFillShade="D9"/>
          </w:tcPr>
          <w:bookmarkEnd w:id="0"/>
          <w:p w14:paraId="73516C6C" w14:textId="350B2B4F" w:rsidR="00A60694" w:rsidRPr="008F01C3" w:rsidRDefault="00A60694" w:rsidP="001234BF">
            <w:pPr>
              <w:widowControl/>
              <w:autoSpaceDE/>
              <w:autoSpaceDN/>
              <w:rPr>
                <w:b/>
                <w:bCs/>
                <w:sz w:val="28"/>
                <w:szCs w:val="28"/>
                <w:lang w:bidi="ar-SA"/>
              </w:rPr>
            </w:pPr>
            <w:r w:rsidRPr="008F01C3">
              <w:rPr>
                <w:b/>
                <w:bCs/>
                <w:sz w:val="28"/>
                <w:szCs w:val="28"/>
                <w:lang w:bidi="ar-SA"/>
              </w:rPr>
              <w:t>Procedure</w:t>
            </w:r>
          </w:p>
        </w:tc>
        <w:tc>
          <w:tcPr>
            <w:tcW w:w="5130" w:type="dxa"/>
            <w:shd w:val="clear" w:color="auto" w:fill="D9D9D9" w:themeFill="background1" w:themeFillShade="D9"/>
          </w:tcPr>
          <w:p w14:paraId="15B95962" w14:textId="4C08E437" w:rsidR="00A60694" w:rsidRPr="008F01C3" w:rsidRDefault="00A60694" w:rsidP="001234BF">
            <w:pPr>
              <w:widowControl/>
              <w:autoSpaceDE/>
              <w:autoSpaceDN/>
              <w:rPr>
                <w:b/>
                <w:bCs/>
                <w:sz w:val="28"/>
                <w:szCs w:val="28"/>
                <w:lang w:bidi="ar-SA"/>
              </w:rPr>
            </w:pPr>
            <w:r w:rsidRPr="008F01C3">
              <w:rPr>
                <w:b/>
                <w:bCs/>
                <w:sz w:val="28"/>
                <w:szCs w:val="28"/>
                <w:lang w:bidi="ar-SA"/>
              </w:rPr>
              <w:t>Comment</w:t>
            </w:r>
            <w:r w:rsidR="001234BF">
              <w:rPr>
                <w:b/>
                <w:bCs/>
                <w:sz w:val="28"/>
                <w:szCs w:val="28"/>
                <w:lang w:bidi="ar-SA"/>
              </w:rPr>
              <w:t>s</w:t>
            </w:r>
          </w:p>
        </w:tc>
      </w:tr>
      <w:tr w:rsidR="00A60694" w:rsidRPr="008F01C3" w14:paraId="5754EAA9" w14:textId="77777777" w:rsidTr="001234BF">
        <w:tc>
          <w:tcPr>
            <w:tcW w:w="5755" w:type="dxa"/>
          </w:tcPr>
          <w:p w14:paraId="001068F6" w14:textId="77777777" w:rsidR="009A453B" w:rsidRPr="00087F37" w:rsidRDefault="009A453B" w:rsidP="009A453B">
            <w:pPr>
              <w:pStyle w:val="Numberedlist-BSA-AML"/>
              <w:numPr>
                <w:ilvl w:val="0"/>
                <w:numId w:val="25"/>
              </w:numPr>
              <w:spacing w:after="200"/>
            </w:pPr>
            <w:r w:rsidRPr="00087F37">
              <w:t>Determine whether the bank has established a due diligence program for correspondent accounts for foreign financial institutions that includes appropriate, specific, risk-based, and, where necessary, enhanced policies, procedures, and controls for correspondent accounts established, maintained, administered, or managed in the United States.  Verify that due diligence policies, procedures, and controls include:</w:t>
            </w:r>
          </w:p>
          <w:p w14:paraId="10975553" w14:textId="77777777" w:rsidR="009A453B" w:rsidRPr="00087F37" w:rsidRDefault="009A453B" w:rsidP="009A453B">
            <w:pPr>
              <w:pStyle w:val="Bulletlist2ndlevel-BSA-AML"/>
              <w:numPr>
                <w:ilvl w:val="0"/>
                <w:numId w:val="24"/>
              </w:numPr>
              <w:rPr>
                <w:szCs w:val="24"/>
              </w:rPr>
            </w:pPr>
            <w:r w:rsidRPr="00087F37">
              <w:rPr>
                <w:szCs w:val="24"/>
              </w:rPr>
              <w:t>Determining whether any correspondent account maintained for a foreign financial institution is subject to enhanced due diligence (EDD).  EDD procedures are required for any correspondent account maintained for a foreign financial institution that operates under:</w:t>
            </w:r>
          </w:p>
          <w:p w14:paraId="18B10E39" w14:textId="77777777" w:rsidR="009A453B" w:rsidRPr="00087F37" w:rsidRDefault="009A453B" w:rsidP="009A453B">
            <w:pPr>
              <w:pStyle w:val="Bulletlist2ndlevel-BSA-AML"/>
              <w:numPr>
                <w:ilvl w:val="1"/>
                <w:numId w:val="24"/>
              </w:numPr>
              <w:tabs>
                <w:tab w:val="clear" w:pos="360"/>
              </w:tabs>
              <w:ind w:left="1080"/>
              <w:rPr>
                <w:szCs w:val="24"/>
              </w:rPr>
            </w:pPr>
            <w:r w:rsidRPr="00087F37">
              <w:rPr>
                <w:szCs w:val="24"/>
              </w:rPr>
              <w:t>An offshore banking license.</w:t>
            </w:r>
          </w:p>
          <w:p w14:paraId="5B7B6343" w14:textId="77777777" w:rsidR="009A453B" w:rsidRPr="00087F37" w:rsidRDefault="009A453B" w:rsidP="009A453B">
            <w:pPr>
              <w:pStyle w:val="Bulletlist2ndlevel-BSA-AML"/>
              <w:numPr>
                <w:ilvl w:val="1"/>
                <w:numId w:val="24"/>
              </w:numPr>
              <w:tabs>
                <w:tab w:val="clear" w:pos="360"/>
              </w:tabs>
              <w:ind w:left="1080"/>
              <w:rPr>
                <w:szCs w:val="24"/>
              </w:rPr>
            </w:pPr>
            <w:r w:rsidRPr="00087F37">
              <w:rPr>
                <w:szCs w:val="24"/>
              </w:rPr>
              <w:t>A banking license issued by a foreign country that has been designated as non-cooperative with international anti-money laundering (AML) principles or procedures by an intergovernmental group or organization of which the United States is a member, and with which designation the United States representative to the group or organization concurs.</w:t>
            </w:r>
          </w:p>
          <w:p w14:paraId="279BDEB9" w14:textId="77777777" w:rsidR="009A453B" w:rsidRPr="00087F37" w:rsidRDefault="009A453B" w:rsidP="009A453B">
            <w:pPr>
              <w:pStyle w:val="Bulletlist2ndlevel-BSA-AML"/>
              <w:numPr>
                <w:ilvl w:val="1"/>
                <w:numId w:val="24"/>
              </w:numPr>
              <w:tabs>
                <w:tab w:val="clear" w:pos="360"/>
              </w:tabs>
              <w:spacing w:before="120" w:after="120"/>
              <w:ind w:left="1080"/>
              <w:rPr>
                <w:szCs w:val="24"/>
              </w:rPr>
            </w:pPr>
            <w:r w:rsidRPr="00087F37">
              <w:rPr>
                <w:szCs w:val="24"/>
              </w:rPr>
              <w:t>A banking license issued by a foreign country that has been designated by the Secretary of the Treasury as warranting special measures due to money laundering (ML) concerns.</w:t>
            </w:r>
          </w:p>
          <w:p w14:paraId="21BC1741" w14:textId="77777777" w:rsidR="009A453B" w:rsidRPr="00087F37" w:rsidRDefault="009A453B" w:rsidP="009A453B">
            <w:pPr>
              <w:pStyle w:val="Bulletlist2ndlevel-BSA-AML"/>
              <w:numPr>
                <w:ilvl w:val="0"/>
                <w:numId w:val="23"/>
              </w:numPr>
              <w:rPr>
                <w:szCs w:val="24"/>
              </w:rPr>
            </w:pPr>
            <w:r w:rsidRPr="00087F37">
              <w:rPr>
                <w:szCs w:val="24"/>
              </w:rPr>
              <w:t xml:space="preserve">Assessing the ML risks presented by each correspondent account for a foreign financial </w:t>
            </w:r>
            <w:r w:rsidRPr="00087F37">
              <w:rPr>
                <w:szCs w:val="24"/>
              </w:rPr>
              <w:lastRenderedPageBreak/>
              <w:t>institution, based on a consideration of all relevant factors, including, as appropriate:</w:t>
            </w:r>
          </w:p>
          <w:p w14:paraId="47D4ED5B" w14:textId="77777777" w:rsidR="009A453B" w:rsidRPr="00087F37" w:rsidRDefault="009A453B" w:rsidP="009A453B">
            <w:pPr>
              <w:pStyle w:val="Bulletlist2ndlevel-BSA-AML"/>
              <w:numPr>
                <w:ilvl w:val="1"/>
                <w:numId w:val="23"/>
              </w:numPr>
              <w:tabs>
                <w:tab w:val="clear" w:pos="360"/>
              </w:tabs>
              <w:ind w:left="1080"/>
              <w:rPr>
                <w:szCs w:val="24"/>
              </w:rPr>
            </w:pPr>
            <w:r w:rsidRPr="00087F37">
              <w:rPr>
                <w:szCs w:val="24"/>
              </w:rPr>
              <w:t>The nature of the foreign financial institution’s business and the markets it serves.</w:t>
            </w:r>
          </w:p>
          <w:p w14:paraId="4EA2A69B" w14:textId="77777777" w:rsidR="009A453B" w:rsidRPr="00087F37" w:rsidRDefault="009A453B" w:rsidP="009A453B">
            <w:pPr>
              <w:pStyle w:val="Bulletlist2ndlevel-BSA-AML"/>
              <w:numPr>
                <w:ilvl w:val="1"/>
                <w:numId w:val="23"/>
              </w:numPr>
              <w:tabs>
                <w:tab w:val="clear" w:pos="360"/>
              </w:tabs>
              <w:ind w:left="1080"/>
              <w:rPr>
                <w:szCs w:val="24"/>
              </w:rPr>
            </w:pPr>
            <w:r w:rsidRPr="00087F37">
              <w:rPr>
                <w:szCs w:val="24"/>
              </w:rPr>
              <w:t>The type, purpose, and anticipated activity of the correspondent account.</w:t>
            </w:r>
          </w:p>
          <w:p w14:paraId="50DE6D63" w14:textId="77777777" w:rsidR="009A453B" w:rsidRPr="00087F37" w:rsidRDefault="009A453B" w:rsidP="009A453B">
            <w:pPr>
              <w:pStyle w:val="Bulletlist2ndlevel-BSA-AML"/>
              <w:numPr>
                <w:ilvl w:val="1"/>
                <w:numId w:val="23"/>
              </w:numPr>
              <w:tabs>
                <w:tab w:val="clear" w:pos="360"/>
              </w:tabs>
              <w:ind w:left="1080"/>
              <w:rPr>
                <w:szCs w:val="24"/>
              </w:rPr>
            </w:pPr>
            <w:r w:rsidRPr="00087F37">
              <w:rPr>
                <w:szCs w:val="24"/>
              </w:rPr>
              <w:t>The nature and duration of the bank’s relationship with the foreign financial institution and any of its affiliates.</w:t>
            </w:r>
          </w:p>
          <w:p w14:paraId="00174A15" w14:textId="77777777" w:rsidR="009A453B" w:rsidRPr="00087F37" w:rsidRDefault="009A453B" w:rsidP="009A453B">
            <w:pPr>
              <w:pStyle w:val="Bulletlist2ndlevel-BSA-AML"/>
              <w:numPr>
                <w:ilvl w:val="1"/>
                <w:numId w:val="23"/>
              </w:numPr>
              <w:tabs>
                <w:tab w:val="clear" w:pos="360"/>
              </w:tabs>
              <w:ind w:left="1080"/>
              <w:rPr>
                <w:szCs w:val="24"/>
              </w:rPr>
            </w:pPr>
            <w:r w:rsidRPr="00087F37">
              <w:rPr>
                <w:szCs w:val="24"/>
              </w:rPr>
              <w:t>The AML and supervisory regime of the jurisdiction that issued the charter or license to the foreign financial institution and, to the extent that information regarding such jurisdiction is reasonably available, the AML and supervisory regime of the jurisdiction in which any company that is an owner of the foreign financial institution is incorporated or chartered.</w:t>
            </w:r>
          </w:p>
          <w:p w14:paraId="1881B650" w14:textId="77777777" w:rsidR="009A453B" w:rsidRPr="00087F37" w:rsidRDefault="009A453B" w:rsidP="009A453B">
            <w:pPr>
              <w:pStyle w:val="Bulletlist2ndlevel-BSA-AML"/>
              <w:numPr>
                <w:ilvl w:val="1"/>
                <w:numId w:val="23"/>
              </w:numPr>
              <w:tabs>
                <w:tab w:val="clear" w:pos="360"/>
              </w:tabs>
              <w:ind w:left="1080"/>
              <w:rPr>
                <w:szCs w:val="24"/>
              </w:rPr>
            </w:pPr>
            <w:r w:rsidRPr="00087F37">
              <w:rPr>
                <w:szCs w:val="24"/>
              </w:rPr>
              <w:t>Information known or reasonably available to the bank about the foreign financial institution’s AML record.</w:t>
            </w:r>
          </w:p>
          <w:p w14:paraId="54774054" w14:textId="7839868A" w:rsidR="00A60694" w:rsidRPr="00FE69F2" w:rsidRDefault="009A453B" w:rsidP="00FE69F2">
            <w:pPr>
              <w:pStyle w:val="Bulletlist2ndlevel-BSA-AML"/>
              <w:numPr>
                <w:ilvl w:val="0"/>
                <w:numId w:val="23"/>
              </w:numPr>
              <w:rPr>
                <w:rStyle w:val="Emphasis"/>
                <w:i w:val="0"/>
                <w:iCs w:val="0"/>
                <w:szCs w:val="24"/>
              </w:rPr>
            </w:pPr>
            <w:r w:rsidRPr="00087F37">
              <w:rPr>
                <w:szCs w:val="24"/>
              </w:rPr>
              <w:t>Applying risk-based procedures and controls to each correspondent account for a foreign financial institution reasonably designed to detect and report known or suspected ML activity, including a periodic review of the correspondent account activity sufficient to determine consistency with information obtained about the type, purpose, and anticipated activity of the account.</w:t>
            </w:r>
          </w:p>
        </w:tc>
        <w:tc>
          <w:tcPr>
            <w:tcW w:w="5130" w:type="dxa"/>
          </w:tcPr>
          <w:p w14:paraId="7DEBBA3E" w14:textId="77777777" w:rsidR="00A60694" w:rsidRPr="008F01C3" w:rsidRDefault="00A60694" w:rsidP="001234BF">
            <w:pPr>
              <w:pStyle w:val="Body-BSA-AML"/>
              <w:spacing w:after="0"/>
              <w:rPr>
                <w:rStyle w:val="Emphasis"/>
                <w:i w:val="0"/>
                <w:iCs w:val="0"/>
                <w:color w:val="000000"/>
                <w:szCs w:val="24"/>
              </w:rPr>
            </w:pPr>
          </w:p>
        </w:tc>
      </w:tr>
      <w:tr w:rsidR="00A60694" w:rsidRPr="008F01C3" w14:paraId="504D8AD6" w14:textId="77777777" w:rsidTr="001234BF">
        <w:tc>
          <w:tcPr>
            <w:tcW w:w="5755" w:type="dxa"/>
          </w:tcPr>
          <w:p w14:paraId="31461749" w14:textId="77777777" w:rsidR="0026572C" w:rsidRPr="00087F37" w:rsidRDefault="0026572C" w:rsidP="0026572C">
            <w:pPr>
              <w:pStyle w:val="Numberedlist-BSA-AML"/>
              <w:numPr>
                <w:ilvl w:val="0"/>
                <w:numId w:val="25"/>
              </w:numPr>
              <w:spacing w:after="200"/>
            </w:pPr>
            <w:r w:rsidRPr="00087F37">
              <w:t>Determine whether the bank has established EDD policies, procedures, and controls for those correspondent accounts identified as requiring EDD, if applicable.  EDD procedures should ensure that the bank, at a minimum, takes reasonable steps to:</w:t>
            </w:r>
          </w:p>
          <w:p w14:paraId="68F80C1B" w14:textId="77777777" w:rsidR="0026572C" w:rsidRPr="00087F37" w:rsidRDefault="0026572C" w:rsidP="0026572C">
            <w:pPr>
              <w:pStyle w:val="Bulletlist2ndlevel-BSA-AML"/>
              <w:numPr>
                <w:ilvl w:val="0"/>
                <w:numId w:val="26"/>
              </w:numPr>
              <w:rPr>
                <w:szCs w:val="24"/>
              </w:rPr>
            </w:pPr>
            <w:r w:rsidRPr="00087F37">
              <w:rPr>
                <w:szCs w:val="24"/>
              </w:rPr>
              <w:t xml:space="preserve">Conduct enhanced scrutiny of correspondent accounts for foreign banks to guard against ML and to identify and report suspicious transactions in accordance with applicable laws and </w:t>
            </w:r>
            <w:r w:rsidRPr="00087F37">
              <w:rPr>
                <w:szCs w:val="24"/>
              </w:rPr>
              <w:lastRenderedPageBreak/>
              <w:t>regulations.  Verify that this enhanced scrutiny is based on an assessment of the risks posed by each correspondent account that is subject to such scrutiny and includes, as appropriate:</w:t>
            </w:r>
          </w:p>
          <w:p w14:paraId="0EF557AE" w14:textId="77777777" w:rsidR="0026572C" w:rsidRPr="00087F37" w:rsidRDefault="0026572C" w:rsidP="0026572C">
            <w:pPr>
              <w:pStyle w:val="Bulletlist2ndlevel-BSA-AML"/>
              <w:numPr>
                <w:ilvl w:val="1"/>
                <w:numId w:val="26"/>
              </w:numPr>
              <w:tabs>
                <w:tab w:val="clear" w:pos="360"/>
              </w:tabs>
              <w:ind w:left="1080"/>
              <w:rPr>
                <w:szCs w:val="24"/>
              </w:rPr>
            </w:pPr>
            <w:r w:rsidRPr="00087F37">
              <w:rPr>
                <w:szCs w:val="24"/>
              </w:rPr>
              <w:t>Obtaining and considering information relating to the foreign bank’s AML program to assess the risk of ML presented by the correspondent account of the foreign bank.</w:t>
            </w:r>
          </w:p>
          <w:p w14:paraId="753168F4" w14:textId="77777777" w:rsidR="0026572C" w:rsidRPr="00087F37" w:rsidRDefault="0026572C" w:rsidP="0026572C">
            <w:pPr>
              <w:pStyle w:val="Bulletlist2ndlevel-BSA-AML"/>
              <w:numPr>
                <w:ilvl w:val="1"/>
                <w:numId w:val="26"/>
              </w:numPr>
              <w:tabs>
                <w:tab w:val="clear" w:pos="360"/>
              </w:tabs>
              <w:ind w:left="1080"/>
              <w:rPr>
                <w:szCs w:val="24"/>
              </w:rPr>
            </w:pPr>
            <w:r w:rsidRPr="00087F37">
              <w:rPr>
                <w:szCs w:val="24"/>
              </w:rPr>
              <w:t>Monitoring transactions to, from, or through the correspondent account of the foreign bank in a manner reasonably designed to detect ML and suspicious activity.</w:t>
            </w:r>
          </w:p>
          <w:p w14:paraId="03944212" w14:textId="7D498B34" w:rsidR="0026572C" w:rsidRDefault="0026572C" w:rsidP="0026572C">
            <w:pPr>
              <w:pStyle w:val="Bulletlist2ndlevel-BSA-AML"/>
              <w:numPr>
                <w:ilvl w:val="1"/>
                <w:numId w:val="26"/>
              </w:numPr>
              <w:tabs>
                <w:tab w:val="clear" w:pos="360"/>
              </w:tabs>
              <w:ind w:left="1080"/>
              <w:rPr>
                <w:szCs w:val="24"/>
              </w:rPr>
            </w:pPr>
            <w:r w:rsidRPr="00087F37">
              <w:rPr>
                <w:szCs w:val="24"/>
              </w:rPr>
              <w:t>Obtaining information from the foreign bank about the identity of any person with authority to direct transactions through any correspondent account that is a payable-through account, and the sources and beneficial owner of funds or other assets in the payable-through account.</w:t>
            </w:r>
            <w:r>
              <w:rPr>
                <w:szCs w:val="24"/>
              </w:rPr>
              <w:t xml:space="preserve"> </w:t>
            </w:r>
          </w:p>
          <w:p w14:paraId="058012E9" w14:textId="77777777" w:rsidR="0026572C" w:rsidRPr="00087F37" w:rsidRDefault="0026572C" w:rsidP="0026572C">
            <w:pPr>
              <w:pStyle w:val="Bulletlist2ndlevel-BSA-AML"/>
              <w:numPr>
                <w:ilvl w:val="0"/>
                <w:numId w:val="26"/>
              </w:numPr>
              <w:rPr>
                <w:szCs w:val="24"/>
              </w:rPr>
            </w:pPr>
            <w:r w:rsidRPr="00087F37">
              <w:rPr>
                <w:szCs w:val="24"/>
              </w:rPr>
              <w:t>Determine whether the foreign bank provides correspondent accounts to other foreign banks (i.e., nested accounts) and, if so, review the bank’s policies and procedures for making this determination.  If such accounts exist, determine that the bank’s policies, procedures, and controls include reasonable steps to obtain information relevant to assess and mitigate ML risks associated with the foreign bank’s correspondent accounts for other foreign banks, including, as appropriate, the identity of those foreign banks.</w:t>
            </w:r>
          </w:p>
          <w:p w14:paraId="1D62395B" w14:textId="77777777" w:rsidR="0026572C" w:rsidRPr="00087F37" w:rsidRDefault="0026572C" w:rsidP="0026572C">
            <w:pPr>
              <w:pStyle w:val="Bulletlist2ndlevel-BSA-AML"/>
              <w:numPr>
                <w:ilvl w:val="0"/>
                <w:numId w:val="26"/>
              </w:numPr>
              <w:rPr>
                <w:szCs w:val="24"/>
              </w:rPr>
            </w:pPr>
            <w:r w:rsidRPr="00087F37">
              <w:rPr>
                <w:szCs w:val="24"/>
              </w:rPr>
              <w:t>Determine whether the foreign bank’s shares are publicly traded.  For those foreign banks that are not publicly traded, determine whether the bank’s policies, procedures, and controls require identification of each owner of the foreign bank and the nature and extent of each owner’s ownership interest.</w:t>
            </w:r>
          </w:p>
          <w:p w14:paraId="6FBB4543" w14:textId="79AC1F08" w:rsidR="00A60694" w:rsidRPr="00991227" w:rsidRDefault="0026572C" w:rsidP="00991227">
            <w:pPr>
              <w:pStyle w:val="Numberedlist-BSA-AML"/>
              <w:numPr>
                <w:ilvl w:val="0"/>
                <w:numId w:val="27"/>
              </w:numPr>
              <w:spacing w:after="200"/>
              <w:ind w:left="720"/>
              <w:rPr>
                <w:rStyle w:val="Emphasis"/>
                <w:i w:val="0"/>
                <w:iCs w:val="0"/>
              </w:rPr>
            </w:pPr>
            <w:r w:rsidRPr="00087F37">
              <w:t xml:space="preserve">Verify that the bank’s due diligence policies, procedures, and controls include procedures for circumstances when due diligence or EDD cannot be performed and circumstances when the bank should refuse to open the account, suspend </w:t>
            </w:r>
            <w:r w:rsidRPr="00087F37">
              <w:lastRenderedPageBreak/>
              <w:t>transaction activity, file a suspicious activity report, or close the account.</w:t>
            </w:r>
          </w:p>
        </w:tc>
        <w:tc>
          <w:tcPr>
            <w:tcW w:w="5130" w:type="dxa"/>
          </w:tcPr>
          <w:p w14:paraId="7E5CFC72" w14:textId="77777777" w:rsidR="00A60694" w:rsidRPr="008F01C3" w:rsidRDefault="00A60694" w:rsidP="001234BF">
            <w:pPr>
              <w:pStyle w:val="Body-BSA-AML"/>
              <w:spacing w:after="0"/>
              <w:rPr>
                <w:rStyle w:val="Emphasis"/>
                <w:i w:val="0"/>
                <w:iCs w:val="0"/>
                <w:color w:val="000000"/>
                <w:szCs w:val="24"/>
              </w:rPr>
            </w:pPr>
          </w:p>
        </w:tc>
      </w:tr>
      <w:tr w:rsidR="00A60694" w:rsidRPr="008F01C3" w14:paraId="2ED5FFF0" w14:textId="77777777" w:rsidTr="001234BF">
        <w:tc>
          <w:tcPr>
            <w:tcW w:w="5755" w:type="dxa"/>
          </w:tcPr>
          <w:p w14:paraId="49D42376" w14:textId="623937FC" w:rsidR="00A60694" w:rsidRPr="00991227" w:rsidRDefault="004F329D" w:rsidP="00991227">
            <w:pPr>
              <w:pStyle w:val="Numberedlist-BSA-AML"/>
              <w:numPr>
                <w:ilvl w:val="0"/>
                <w:numId w:val="25"/>
              </w:numPr>
              <w:spacing w:after="200"/>
              <w:rPr>
                <w:rStyle w:val="Emphasis"/>
                <w:i w:val="0"/>
                <w:iCs w:val="0"/>
              </w:rPr>
            </w:pPr>
            <w:r w:rsidRPr="00087F37">
              <w:lastRenderedPageBreak/>
              <w:t xml:space="preserve">On the basis of a risk assessment, prior examination reports, and a review of the bank’s audit findings, if applicable, select a sample of correspondent accounts for foreign financial institutions.  The sample should include correspondent accounts maintained for foreign financial institutions other than foreign banks (such as money transmitters or currency exchangers), if applicable.  From the sample selected, determine whether the bank complies with general due diligence requirements for correspondent accounts maintained for foreign financial institutions.  </w:t>
            </w:r>
          </w:p>
        </w:tc>
        <w:tc>
          <w:tcPr>
            <w:tcW w:w="5130" w:type="dxa"/>
          </w:tcPr>
          <w:p w14:paraId="6A613909" w14:textId="77777777" w:rsidR="00A60694" w:rsidRPr="008F01C3" w:rsidRDefault="00A60694" w:rsidP="001234BF">
            <w:pPr>
              <w:pStyle w:val="Body-BSA-AML"/>
              <w:spacing w:after="0"/>
              <w:rPr>
                <w:rStyle w:val="Emphasis"/>
                <w:i w:val="0"/>
                <w:iCs w:val="0"/>
                <w:color w:val="000000"/>
                <w:szCs w:val="24"/>
              </w:rPr>
            </w:pPr>
          </w:p>
        </w:tc>
      </w:tr>
      <w:tr w:rsidR="00A60694" w:rsidRPr="008F01C3" w14:paraId="159044A1" w14:textId="77777777" w:rsidTr="001234BF">
        <w:tc>
          <w:tcPr>
            <w:tcW w:w="5755" w:type="dxa"/>
          </w:tcPr>
          <w:p w14:paraId="62C862B7" w14:textId="1FAB4974" w:rsidR="00A60694" w:rsidRPr="00FE69F2" w:rsidRDefault="004F329D" w:rsidP="00991227">
            <w:pPr>
              <w:pStyle w:val="Numberedlist-BSA-AML"/>
              <w:numPr>
                <w:ilvl w:val="0"/>
                <w:numId w:val="25"/>
              </w:numPr>
              <w:spacing w:after="200"/>
              <w:rPr>
                <w:rStyle w:val="Emphasis"/>
                <w:i w:val="0"/>
                <w:iCs w:val="0"/>
              </w:rPr>
            </w:pPr>
            <w:bookmarkStart w:id="1" w:name="_Hlk84336961"/>
            <w:r w:rsidRPr="00FE69F2">
              <w:t>Determine whether the bank maintains correspondent accounts for foreign banks that require EDD procedures.  Select a sample of correspondent accounts for foreign banks that are subject to EDD requirements to determine whether the bank complies with EDD requirements, (e.g., determination of nested relationships and consideration of AML program information).</w:t>
            </w:r>
            <w:bookmarkEnd w:id="1"/>
          </w:p>
        </w:tc>
        <w:tc>
          <w:tcPr>
            <w:tcW w:w="5130" w:type="dxa"/>
          </w:tcPr>
          <w:p w14:paraId="3C800017" w14:textId="77777777" w:rsidR="00A60694" w:rsidRPr="008F01C3" w:rsidRDefault="00A60694" w:rsidP="001234BF">
            <w:pPr>
              <w:pStyle w:val="Body-BSA-AML"/>
              <w:spacing w:after="0"/>
              <w:rPr>
                <w:rStyle w:val="Emphasis"/>
                <w:i w:val="0"/>
                <w:iCs w:val="0"/>
                <w:color w:val="000000"/>
                <w:szCs w:val="24"/>
              </w:rPr>
            </w:pPr>
          </w:p>
        </w:tc>
      </w:tr>
      <w:tr w:rsidR="00A60694" w:rsidRPr="008F01C3" w14:paraId="55A02419" w14:textId="77777777" w:rsidTr="001234BF">
        <w:tc>
          <w:tcPr>
            <w:tcW w:w="5755" w:type="dxa"/>
          </w:tcPr>
          <w:p w14:paraId="5AA598E6" w14:textId="4C5F2468" w:rsidR="00A60694" w:rsidRPr="00FE69F2" w:rsidRDefault="004F329D" w:rsidP="00991227">
            <w:pPr>
              <w:pStyle w:val="ListParagraph"/>
              <w:widowControl/>
              <w:numPr>
                <w:ilvl w:val="0"/>
                <w:numId w:val="25"/>
              </w:numPr>
              <w:autoSpaceDE/>
              <w:autoSpaceDN/>
              <w:spacing w:before="120" w:after="100" w:afterAutospacing="1"/>
              <w:rPr>
                <w:rStyle w:val="Emphasis"/>
                <w:i w:val="0"/>
                <w:iCs w:val="0"/>
                <w:sz w:val="24"/>
                <w:szCs w:val="24"/>
              </w:rPr>
            </w:pPr>
            <w:r w:rsidRPr="00FE69F2">
              <w:rPr>
                <w:sz w:val="24"/>
                <w:szCs w:val="24"/>
              </w:rPr>
              <w:t>Based on examination and testing procedures completed, form a conclusion about the bank’s compliance with Bank Secrecy Act (BSA) regulatory requirements associated with due diligence for correspondent accounts for foreign financial institutions.</w:t>
            </w:r>
          </w:p>
        </w:tc>
        <w:tc>
          <w:tcPr>
            <w:tcW w:w="5130" w:type="dxa"/>
          </w:tcPr>
          <w:p w14:paraId="1DE7832D" w14:textId="77777777" w:rsidR="00A60694" w:rsidRPr="008F01C3" w:rsidRDefault="00A60694" w:rsidP="001234BF">
            <w:pPr>
              <w:pStyle w:val="Body-BSA-AML"/>
              <w:spacing w:after="0"/>
              <w:rPr>
                <w:rStyle w:val="Emphasis"/>
                <w:i w:val="0"/>
                <w:iCs w:val="0"/>
                <w:color w:val="000000"/>
                <w:szCs w:val="24"/>
              </w:rPr>
            </w:pPr>
          </w:p>
        </w:tc>
      </w:tr>
    </w:tbl>
    <w:p w14:paraId="1CE2D529" w14:textId="77777777" w:rsidR="00A60694" w:rsidRPr="00D705ED" w:rsidRDefault="00A60694" w:rsidP="00DB2A96">
      <w:pPr>
        <w:pStyle w:val="Body-BSA-AML"/>
        <w:spacing w:before="200"/>
        <w:rPr>
          <w:rStyle w:val="Emphasis"/>
          <w:color w:val="000000"/>
          <w:szCs w:val="24"/>
        </w:rPr>
      </w:pPr>
    </w:p>
    <w:p w14:paraId="560F67FA" w14:textId="77777777" w:rsidR="00DB2A96" w:rsidRPr="000C6D6C" w:rsidRDefault="00DB2A96" w:rsidP="00DD6378">
      <w:pPr>
        <w:spacing w:before="200" w:after="200"/>
        <w:rPr>
          <w:sz w:val="24"/>
          <w:szCs w:val="24"/>
        </w:rPr>
      </w:pPr>
    </w:p>
    <w:sectPr w:rsidR="00DB2A96" w:rsidRPr="000C6D6C" w:rsidSect="00DB611F">
      <w:headerReference w:type="even" r:id="rId11"/>
      <w:headerReference w:type="default" r:id="rId12"/>
      <w:footerReference w:type="even" r:id="rId13"/>
      <w:footerReference w:type="default" r:id="rId14"/>
      <w:headerReference w:type="first" r:id="rId15"/>
      <w:footerReference w:type="first" r:id="rId16"/>
      <w:pgSz w:w="12240" w:h="15840" w:code="1"/>
      <w:pgMar w:top="1008" w:right="720" w:bottom="1008"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F3C1" w14:textId="77777777" w:rsidR="00E5622D" w:rsidRDefault="00E5622D">
      <w:r>
        <w:separator/>
      </w:r>
    </w:p>
  </w:endnote>
  <w:endnote w:type="continuationSeparator" w:id="0">
    <w:p w14:paraId="6D22F11E" w14:textId="77777777" w:rsidR="00E5622D" w:rsidRDefault="00E5622D">
      <w:r>
        <w:continuationSeparator/>
      </w:r>
    </w:p>
  </w:endnote>
  <w:endnote w:type="continuationNotice" w:id="1">
    <w:p w14:paraId="54D0111F" w14:textId="77777777" w:rsidR="00E5622D" w:rsidRDefault="00E56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742A" w14:textId="77777777" w:rsidR="00FE69F2" w:rsidRDefault="00FE6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91E3" w14:textId="0202D623" w:rsidR="00EE07C7" w:rsidRDefault="00EE07C7" w:rsidP="00EE07C7">
    <w:pPr>
      <w:pStyle w:val="FooterBSA-AML"/>
      <w:tabs>
        <w:tab w:val="clear" w:pos="4320"/>
        <w:tab w:val="clear" w:pos="8640"/>
        <w:tab w:val="center" w:pos="5760"/>
        <w:tab w:val="right" w:pos="10800"/>
      </w:tabs>
    </w:pPr>
    <w:r>
      <w:t>FFIEC BSA/AML Examination Manual</w:t>
    </w:r>
    <w:r>
      <w:tab/>
    </w:r>
    <w:r w:rsidRPr="00475A9F">
      <w:rPr>
        <w:rStyle w:val="PageNumber"/>
      </w:rPr>
      <w:fldChar w:fldCharType="begin"/>
    </w:r>
    <w:r w:rsidRPr="00832698">
      <w:rPr>
        <w:rStyle w:val="PageNumber"/>
      </w:rPr>
      <w:instrText xml:space="preserve"> PAGE </w:instrText>
    </w:r>
    <w:r w:rsidRPr="00475A9F">
      <w:rPr>
        <w:rStyle w:val="PageNumber"/>
      </w:rPr>
      <w:fldChar w:fldCharType="separate"/>
    </w:r>
    <w:r>
      <w:rPr>
        <w:rStyle w:val="PageNumber"/>
      </w:rPr>
      <w:t>1</w:t>
    </w:r>
    <w:r w:rsidRPr="00475A9F">
      <w:rPr>
        <w:rStyle w:val="PageNumber"/>
      </w:rPr>
      <w:fldChar w:fldCharType="end"/>
    </w:r>
    <w:r>
      <w:rPr>
        <w:rStyle w:val="PageNumber"/>
      </w:rPr>
      <w:tab/>
    </w:r>
    <w:r w:rsidR="00991227">
      <w:rPr>
        <w:rStyle w:val="PageNumber"/>
      </w:rPr>
      <w:t>July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E216" w14:textId="77777777" w:rsidR="00FE69F2" w:rsidRDefault="00FE6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492E" w14:textId="77777777" w:rsidR="00E5622D" w:rsidRDefault="00E5622D">
      <w:r>
        <w:separator/>
      </w:r>
    </w:p>
  </w:footnote>
  <w:footnote w:type="continuationSeparator" w:id="0">
    <w:p w14:paraId="591C61B0" w14:textId="77777777" w:rsidR="00E5622D" w:rsidRDefault="00E5622D">
      <w:r>
        <w:continuationSeparator/>
      </w:r>
    </w:p>
  </w:footnote>
  <w:footnote w:type="continuationNotice" w:id="1">
    <w:p w14:paraId="191B100C" w14:textId="77777777" w:rsidR="00E5622D" w:rsidRDefault="00E56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6A8F" w14:textId="77777777" w:rsidR="00FE69F2" w:rsidRDefault="00FE6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0F45" w14:textId="77579464" w:rsidR="005C474A" w:rsidRPr="00C23D7A" w:rsidRDefault="00FF32AD" w:rsidP="009A7F59">
    <w:pPr>
      <w:pStyle w:val="Header-BSA-AML"/>
      <w:rPr>
        <w:sz w:val="24"/>
        <w:szCs w:val="24"/>
      </w:rPr>
    </w:pPr>
    <w:r>
      <w:rPr>
        <w:noProof/>
        <w:sz w:val="24"/>
        <w:szCs w:val="24"/>
      </w:rPr>
      <mc:AlternateContent>
        <mc:Choice Requires="wps">
          <w:drawing>
            <wp:anchor distT="0" distB="0" distL="114300" distR="114300" simplePos="0" relativeHeight="251659264" behindDoc="0" locked="0" layoutInCell="0" allowOverlap="1" wp14:anchorId="75E4BD28" wp14:editId="5999AC4D">
              <wp:simplePos x="0" y="0"/>
              <wp:positionH relativeFrom="page">
                <wp:posOffset>0</wp:posOffset>
              </wp:positionH>
              <wp:positionV relativeFrom="page">
                <wp:posOffset>190500</wp:posOffset>
              </wp:positionV>
              <wp:extent cx="7772400" cy="273050"/>
              <wp:effectExtent l="0" t="0" r="0" b="12700"/>
              <wp:wrapNone/>
              <wp:docPr id="3" name="MSIPCM06854b42b15b3d3cf68b27f5" descr="{&quot;HashCode&quot;:32068816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14265" w14:textId="5A56792E" w:rsidR="00FF32AD" w:rsidRPr="00FF32AD" w:rsidRDefault="00FF32AD" w:rsidP="00FF32AD">
                          <w:pPr>
                            <w:rPr>
                              <w:rFonts w:ascii="Calibri" w:hAnsi="Calibri" w:cs="Calibri"/>
                              <w:color w:val="000000"/>
                            </w:rPr>
                          </w:pPr>
                          <w:r w:rsidRPr="00FF32AD">
                            <w:rPr>
                              <w:rFonts w:ascii="Calibri" w:hAnsi="Calibri" w:cs="Calibri"/>
                              <w:color w:val="000000"/>
                            </w:rPr>
                            <w:t>NONCONFIDENTIAL // EXTERNAL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E4BD28" id="_x0000_t202" coordsize="21600,21600" o:spt="202" path="m,l,21600r21600,l21600,xe">
              <v:stroke joinstyle="miter"/>
              <v:path gradientshapeok="t" o:connecttype="rect"/>
            </v:shapetype>
            <v:shape id="MSIPCM06854b42b15b3d3cf68b27f5" o:spid="_x0000_s1026" type="#_x0000_t202" alt="{&quot;HashCode&quot;:320688167,&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fill o:detectmouseclick="t"/>
              <v:textbox inset="20pt,0,,0">
                <w:txbxContent>
                  <w:p w14:paraId="33B14265" w14:textId="5A56792E" w:rsidR="00FF32AD" w:rsidRPr="00FF32AD" w:rsidRDefault="00FF32AD" w:rsidP="00FF32AD">
                    <w:pPr>
                      <w:rPr>
                        <w:rFonts w:ascii="Calibri" w:hAnsi="Calibri" w:cs="Calibri"/>
                        <w:color w:val="000000"/>
                      </w:rPr>
                    </w:pPr>
                    <w:r w:rsidRPr="00FF32AD">
                      <w:rPr>
                        <w:rFonts w:ascii="Calibri" w:hAnsi="Calibri" w:cs="Calibri"/>
                        <w:color w:val="000000"/>
                      </w:rPr>
                      <w:t>NONCONFIDENTIAL // EXTERNAL</w:t>
                    </w:r>
                  </w:p>
                </w:txbxContent>
              </v:textbox>
              <w10:wrap anchorx="page" anchory="page"/>
            </v:shape>
          </w:pict>
        </mc:Fallback>
      </mc:AlternateContent>
    </w:r>
    <w:r w:rsidR="00FB5C3F">
      <w:rPr>
        <w:sz w:val="24"/>
        <w:szCs w:val="24"/>
      </w:rPr>
      <w:t>Due Diligence Programs for Correspondent Accounts for Foreign Financial Institutions</w:t>
    </w:r>
    <w:r w:rsidR="005C474A">
      <w:rPr>
        <w:sz w:val="24"/>
        <w:szCs w:val="24"/>
      </w:rPr>
      <w:t xml:space="preserve"> Examination and Testing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1911" w14:textId="77777777" w:rsidR="00FE69F2" w:rsidRDefault="00FE6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1D3"/>
    <w:multiLevelType w:val="hybridMultilevel"/>
    <w:tmpl w:val="E470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C3EEC"/>
    <w:multiLevelType w:val="multilevel"/>
    <w:tmpl w:val="2F02B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C6150"/>
    <w:multiLevelType w:val="hybridMultilevel"/>
    <w:tmpl w:val="AD701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D3E94"/>
    <w:multiLevelType w:val="hybridMultilevel"/>
    <w:tmpl w:val="D7E8709C"/>
    <w:lvl w:ilvl="0" w:tplc="EC3448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3638D"/>
    <w:multiLevelType w:val="hybridMultilevel"/>
    <w:tmpl w:val="D70A1158"/>
    <w:lvl w:ilvl="0" w:tplc="C7106A44">
      <w:numFmt w:val="bullet"/>
      <w:lvlText w:val=""/>
      <w:lvlJc w:val="left"/>
      <w:pPr>
        <w:ind w:left="1652" w:hanging="341"/>
      </w:pPr>
      <w:rPr>
        <w:rFonts w:ascii="Symbol" w:eastAsia="Symbol" w:hAnsi="Symbol" w:cs="Symbol" w:hint="default"/>
        <w:w w:val="100"/>
        <w:sz w:val="21"/>
        <w:szCs w:val="21"/>
        <w:lang w:val="en-GB" w:eastAsia="en-GB" w:bidi="en-GB"/>
      </w:rPr>
    </w:lvl>
    <w:lvl w:ilvl="1" w:tplc="2E8E4798">
      <w:numFmt w:val="bullet"/>
      <w:lvlText w:val="o"/>
      <w:lvlJc w:val="left"/>
      <w:pPr>
        <w:ind w:left="1992" w:hanging="341"/>
      </w:pPr>
      <w:rPr>
        <w:rFonts w:ascii="Courier New" w:eastAsia="Courier New" w:hAnsi="Courier New" w:cs="Courier New" w:hint="default"/>
        <w:w w:val="100"/>
        <w:sz w:val="21"/>
        <w:szCs w:val="21"/>
        <w:lang w:val="en-GB" w:eastAsia="en-GB" w:bidi="en-GB"/>
      </w:rPr>
    </w:lvl>
    <w:lvl w:ilvl="2" w:tplc="136A0FEA">
      <w:numFmt w:val="bullet"/>
      <w:lvlText w:val="•"/>
      <w:lvlJc w:val="left"/>
      <w:pPr>
        <w:ind w:left="2860" w:hanging="341"/>
      </w:pPr>
      <w:rPr>
        <w:lang w:val="en-GB" w:eastAsia="en-GB" w:bidi="en-GB"/>
      </w:rPr>
    </w:lvl>
    <w:lvl w:ilvl="3" w:tplc="CBAE5072">
      <w:numFmt w:val="bullet"/>
      <w:lvlText w:val="•"/>
      <w:lvlJc w:val="left"/>
      <w:pPr>
        <w:ind w:left="3721" w:hanging="341"/>
      </w:pPr>
      <w:rPr>
        <w:lang w:val="en-GB" w:eastAsia="en-GB" w:bidi="en-GB"/>
      </w:rPr>
    </w:lvl>
    <w:lvl w:ilvl="4" w:tplc="B99E65B0">
      <w:numFmt w:val="bullet"/>
      <w:lvlText w:val="•"/>
      <w:lvlJc w:val="left"/>
      <w:pPr>
        <w:ind w:left="4582" w:hanging="341"/>
      </w:pPr>
      <w:rPr>
        <w:lang w:val="en-GB" w:eastAsia="en-GB" w:bidi="en-GB"/>
      </w:rPr>
    </w:lvl>
    <w:lvl w:ilvl="5" w:tplc="94BC9248">
      <w:numFmt w:val="bullet"/>
      <w:lvlText w:val="•"/>
      <w:lvlJc w:val="left"/>
      <w:pPr>
        <w:ind w:left="5442" w:hanging="341"/>
      </w:pPr>
      <w:rPr>
        <w:lang w:val="en-GB" w:eastAsia="en-GB" w:bidi="en-GB"/>
      </w:rPr>
    </w:lvl>
    <w:lvl w:ilvl="6" w:tplc="3D16C408">
      <w:numFmt w:val="bullet"/>
      <w:lvlText w:val="•"/>
      <w:lvlJc w:val="left"/>
      <w:pPr>
        <w:ind w:left="6303" w:hanging="341"/>
      </w:pPr>
      <w:rPr>
        <w:lang w:val="en-GB" w:eastAsia="en-GB" w:bidi="en-GB"/>
      </w:rPr>
    </w:lvl>
    <w:lvl w:ilvl="7" w:tplc="E7E6060E">
      <w:numFmt w:val="bullet"/>
      <w:lvlText w:val="•"/>
      <w:lvlJc w:val="left"/>
      <w:pPr>
        <w:ind w:left="7164" w:hanging="341"/>
      </w:pPr>
      <w:rPr>
        <w:lang w:val="en-GB" w:eastAsia="en-GB" w:bidi="en-GB"/>
      </w:rPr>
    </w:lvl>
    <w:lvl w:ilvl="8" w:tplc="B78CEA56">
      <w:numFmt w:val="bullet"/>
      <w:lvlText w:val="•"/>
      <w:lvlJc w:val="left"/>
      <w:pPr>
        <w:ind w:left="8024" w:hanging="341"/>
      </w:pPr>
      <w:rPr>
        <w:lang w:val="en-GB" w:eastAsia="en-GB" w:bidi="en-GB"/>
      </w:rPr>
    </w:lvl>
  </w:abstractNum>
  <w:abstractNum w:abstractNumId="5" w15:restartNumberingAfterBreak="0">
    <w:nsid w:val="1B4C7532"/>
    <w:multiLevelType w:val="hybridMultilevel"/>
    <w:tmpl w:val="C10EE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BB0CE3"/>
    <w:multiLevelType w:val="hybridMultilevel"/>
    <w:tmpl w:val="143CB688"/>
    <w:lvl w:ilvl="0" w:tplc="EC3448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9704A7"/>
    <w:multiLevelType w:val="hybridMultilevel"/>
    <w:tmpl w:val="6100B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C44C60"/>
    <w:multiLevelType w:val="multilevel"/>
    <w:tmpl w:val="8234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F7AB2"/>
    <w:multiLevelType w:val="hybridMultilevel"/>
    <w:tmpl w:val="C4102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7361F"/>
    <w:multiLevelType w:val="hybridMultilevel"/>
    <w:tmpl w:val="DEDE7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C075B"/>
    <w:multiLevelType w:val="hybridMultilevel"/>
    <w:tmpl w:val="1CF64FB0"/>
    <w:lvl w:ilvl="0" w:tplc="26342510">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02062"/>
    <w:multiLevelType w:val="hybridMultilevel"/>
    <w:tmpl w:val="1DD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41917"/>
    <w:multiLevelType w:val="hybridMultilevel"/>
    <w:tmpl w:val="7DE2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569EB"/>
    <w:multiLevelType w:val="hybridMultilevel"/>
    <w:tmpl w:val="6FEE6A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CC740C"/>
    <w:multiLevelType w:val="hybridMultilevel"/>
    <w:tmpl w:val="6DC8FA14"/>
    <w:lvl w:ilvl="0" w:tplc="6C6AA43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E08F9"/>
    <w:multiLevelType w:val="multilevel"/>
    <w:tmpl w:val="F304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B20CB"/>
    <w:multiLevelType w:val="hybridMultilevel"/>
    <w:tmpl w:val="7FFA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60FAD"/>
    <w:multiLevelType w:val="multilevel"/>
    <w:tmpl w:val="08CC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8628F"/>
    <w:multiLevelType w:val="hybridMultilevel"/>
    <w:tmpl w:val="7D127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E779B2"/>
    <w:multiLevelType w:val="multilevel"/>
    <w:tmpl w:val="EE3E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3921FF"/>
    <w:multiLevelType w:val="multilevel"/>
    <w:tmpl w:val="C8BE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B21E5"/>
    <w:multiLevelType w:val="hybridMultilevel"/>
    <w:tmpl w:val="DFF2FD7E"/>
    <w:lvl w:ilvl="0" w:tplc="EEC489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196408"/>
    <w:multiLevelType w:val="hybridMultilevel"/>
    <w:tmpl w:val="B43CE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47C19"/>
    <w:multiLevelType w:val="multilevel"/>
    <w:tmpl w:val="37FE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206DF4"/>
    <w:multiLevelType w:val="hybridMultilevel"/>
    <w:tmpl w:val="276CE37C"/>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705561">
    <w:abstractNumId w:val="24"/>
  </w:num>
  <w:num w:numId="2" w16cid:durableId="347371654">
    <w:abstractNumId w:val="21"/>
  </w:num>
  <w:num w:numId="3" w16cid:durableId="1155226373">
    <w:abstractNumId w:val="20"/>
  </w:num>
  <w:num w:numId="4" w16cid:durableId="269943900">
    <w:abstractNumId w:val="16"/>
  </w:num>
  <w:num w:numId="5" w16cid:durableId="1734616778">
    <w:abstractNumId w:val="18"/>
  </w:num>
  <w:num w:numId="6" w16cid:durableId="1883322817">
    <w:abstractNumId w:val="8"/>
  </w:num>
  <w:num w:numId="7" w16cid:durableId="1598560984">
    <w:abstractNumId w:val="4"/>
  </w:num>
  <w:num w:numId="8" w16cid:durableId="1112361453">
    <w:abstractNumId w:val="0"/>
  </w:num>
  <w:num w:numId="9" w16cid:durableId="965352632">
    <w:abstractNumId w:val="17"/>
  </w:num>
  <w:num w:numId="10" w16cid:durableId="491289946">
    <w:abstractNumId w:val="19"/>
  </w:num>
  <w:num w:numId="11" w16cid:durableId="1324553255">
    <w:abstractNumId w:val="15"/>
  </w:num>
  <w:num w:numId="12" w16cid:durableId="1672830543">
    <w:abstractNumId w:val="3"/>
  </w:num>
  <w:num w:numId="13" w16cid:durableId="1913465610">
    <w:abstractNumId w:val="6"/>
  </w:num>
  <w:num w:numId="14" w16cid:durableId="770779327">
    <w:abstractNumId w:val="13"/>
  </w:num>
  <w:num w:numId="15" w16cid:durableId="208541503">
    <w:abstractNumId w:val="3"/>
  </w:num>
  <w:num w:numId="16" w16cid:durableId="1763531563">
    <w:abstractNumId w:val="7"/>
  </w:num>
  <w:num w:numId="17" w16cid:durableId="958996445">
    <w:abstractNumId w:val="1"/>
  </w:num>
  <w:num w:numId="18" w16cid:durableId="1493639751">
    <w:abstractNumId w:val="2"/>
  </w:num>
  <w:num w:numId="19" w16cid:durableId="932012660">
    <w:abstractNumId w:val="9"/>
  </w:num>
  <w:num w:numId="20" w16cid:durableId="707145697">
    <w:abstractNumId w:val="12"/>
  </w:num>
  <w:num w:numId="21" w16cid:durableId="1386030857">
    <w:abstractNumId w:val="11"/>
  </w:num>
  <w:num w:numId="22" w16cid:durableId="583146688">
    <w:abstractNumId w:val="14"/>
  </w:num>
  <w:num w:numId="23" w16cid:durableId="613681413">
    <w:abstractNumId w:val="25"/>
  </w:num>
  <w:num w:numId="24" w16cid:durableId="1000887253">
    <w:abstractNumId w:val="10"/>
  </w:num>
  <w:num w:numId="25" w16cid:durableId="1382288514">
    <w:abstractNumId w:val="22"/>
  </w:num>
  <w:num w:numId="26" w16cid:durableId="867331708">
    <w:abstractNumId w:val="23"/>
  </w:num>
  <w:num w:numId="27" w16cid:durableId="2035382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05"/>
    <w:rsid w:val="00001C47"/>
    <w:rsid w:val="000023CA"/>
    <w:rsid w:val="00002C7F"/>
    <w:rsid w:val="00003394"/>
    <w:rsid w:val="00003985"/>
    <w:rsid w:val="00005B51"/>
    <w:rsid w:val="00006AE0"/>
    <w:rsid w:val="00011100"/>
    <w:rsid w:val="00013FD7"/>
    <w:rsid w:val="00016233"/>
    <w:rsid w:val="00016C4B"/>
    <w:rsid w:val="00023773"/>
    <w:rsid w:val="00023AEB"/>
    <w:rsid w:val="00025EDC"/>
    <w:rsid w:val="00026C76"/>
    <w:rsid w:val="00033097"/>
    <w:rsid w:val="000354F0"/>
    <w:rsid w:val="00036656"/>
    <w:rsid w:val="0004259D"/>
    <w:rsid w:val="00042D37"/>
    <w:rsid w:val="00042FC9"/>
    <w:rsid w:val="00045A06"/>
    <w:rsid w:val="00045CDB"/>
    <w:rsid w:val="0004723E"/>
    <w:rsid w:val="0004757A"/>
    <w:rsid w:val="000477DC"/>
    <w:rsid w:val="00051B90"/>
    <w:rsid w:val="0005231E"/>
    <w:rsid w:val="00053FC1"/>
    <w:rsid w:val="00054778"/>
    <w:rsid w:val="0005682D"/>
    <w:rsid w:val="000570B8"/>
    <w:rsid w:val="0006060F"/>
    <w:rsid w:val="00061FAB"/>
    <w:rsid w:val="00064466"/>
    <w:rsid w:val="00065709"/>
    <w:rsid w:val="00065B8C"/>
    <w:rsid w:val="000670B7"/>
    <w:rsid w:val="00070157"/>
    <w:rsid w:val="00071AF6"/>
    <w:rsid w:val="00071CAE"/>
    <w:rsid w:val="00072F04"/>
    <w:rsid w:val="00072F5B"/>
    <w:rsid w:val="00073873"/>
    <w:rsid w:val="000767B0"/>
    <w:rsid w:val="000771D4"/>
    <w:rsid w:val="00077B40"/>
    <w:rsid w:val="00082F35"/>
    <w:rsid w:val="0008704C"/>
    <w:rsid w:val="00090365"/>
    <w:rsid w:val="0009377A"/>
    <w:rsid w:val="000948B0"/>
    <w:rsid w:val="00094CCD"/>
    <w:rsid w:val="000A0313"/>
    <w:rsid w:val="000A4A02"/>
    <w:rsid w:val="000A4B23"/>
    <w:rsid w:val="000A590F"/>
    <w:rsid w:val="000A6ADF"/>
    <w:rsid w:val="000B291C"/>
    <w:rsid w:val="000B3631"/>
    <w:rsid w:val="000B4EAE"/>
    <w:rsid w:val="000B4FAD"/>
    <w:rsid w:val="000B7005"/>
    <w:rsid w:val="000C0797"/>
    <w:rsid w:val="000C31FB"/>
    <w:rsid w:val="000C50E4"/>
    <w:rsid w:val="000C5ADB"/>
    <w:rsid w:val="000C5D0A"/>
    <w:rsid w:val="000C6BF1"/>
    <w:rsid w:val="000C6D6C"/>
    <w:rsid w:val="000C74F2"/>
    <w:rsid w:val="000D0361"/>
    <w:rsid w:val="000D1DD9"/>
    <w:rsid w:val="000D404D"/>
    <w:rsid w:val="000D421F"/>
    <w:rsid w:val="000D59DF"/>
    <w:rsid w:val="000D6891"/>
    <w:rsid w:val="000D7055"/>
    <w:rsid w:val="000D78AD"/>
    <w:rsid w:val="000E0D9D"/>
    <w:rsid w:val="000E1861"/>
    <w:rsid w:val="000E295B"/>
    <w:rsid w:val="000E3C24"/>
    <w:rsid w:val="000E5951"/>
    <w:rsid w:val="000F27FB"/>
    <w:rsid w:val="000F4A8D"/>
    <w:rsid w:val="000F4F08"/>
    <w:rsid w:val="000F5557"/>
    <w:rsid w:val="000F604D"/>
    <w:rsid w:val="00100B42"/>
    <w:rsid w:val="00102EAD"/>
    <w:rsid w:val="0011379D"/>
    <w:rsid w:val="001141CA"/>
    <w:rsid w:val="00117FFE"/>
    <w:rsid w:val="0012257F"/>
    <w:rsid w:val="001234BF"/>
    <w:rsid w:val="00133E81"/>
    <w:rsid w:val="00135B24"/>
    <w:rsid w:val="001425DE"/>
    <w:rsid w:val="001446E0"/>
    <w:rsid w:val="00145A0A"/>
    <w:rsid w:val="00145FF6"/>
    <w:rsid w:val="00146303"/>
    <w:rsid w:val="00151DA2"/>
    <w:rsid w:val="0015423F"/>
    <w:rsid w:val="0016146C"/>
    <w:rsid w:val="001645F1"/>
    <w:rsid w:val="001720E5"/>
    <w:rsid w:val="00180DF8"/>
    <w:rsid w:val="001821F7"/>
    <w:rsid w:val="00183568"/>
    <w:rsid w:val="00183AB9"/>
    <w:rsid w:val="00183F8E"/>
    <w:rsid w:val="0018434D"/>
    <w:rsid w:val="0018531C"/>
    <w:rsid w:val="00187383"/>
    <w:rsid w:val="001875B5"/>
    <w:rsid w:val="00190404"/>
    <w:rsid w:val="00191764"/>
    <w:rsid w:val="00192CB6"/>
    <w:rsid w:val="001937FF"/>
    <w:rsid w:val="001938B4"/>
    <w:rsid w:val="001946C2"/>
    <w:rsid w:val="0019608B"/>
    <w:rsid w:val="00197D9D"/>
    <w:rsid w:val="001A1353"/>
    <w:rsid w:val="001A5625"/>
    <w:rsid w:val="001A6AB3"/>
    <w:rsid w:val="001B10F9"/>
    <w:rsid w:val="001B4E00"/>
    <w:rsid w:val="001B6041"/>
    <w:rsid w:val="001B7D5B"/>
    <w:rsid w:val="001C05E6"/>
    <w:rsid w:val="001C2774"/>
    <w:rsid w:val="001C2EA7"/>
    <w:rsid w:val="001C3042"/>
    <w:rsid w:val="001C41D5"/>
    <w:rsid w:val="001C4D5C"/>
    <w:rsid w:val="001C5843"/>
    <w:rsid w:val="001C62F2"/>
    <w:rsid w:val="001C7217"/>
    <w:rsid w:val="001C7861"/>
    <w:rsid w:val="001D12C3"/>
    <w:rsid w:val="001D2423"/>
    <w:rsid w:val="001D25D1"/>
    <w:rsid w:val="001D32EF"/>
    <w:rsid w:val="001D37F9"/>
    <w:rsid w:val="001D551C"/>
    <w:rsid w:val="001D5819"/>
    <w:rsid w:val="001E0ECE"/>
    <w:rsid w:val="001E3D16"/>
    <w:rsid w:val="001E50A8"/>
    <w:rsid w:val="001F04EE"/>
    <w:rsid w:val="001F0C03"/>
    <w:rsid w:val="001F235E"/>
    <w:rsid w:val="001F2C78"/>
    <w:rsid w:val="001F351A"/>
    <w:rsid w:val="001F3F7B"/>
    <w:rsid w:val="001F4E08"/>
    <w:rsid w:val="001F6652"/>
    <w:rsid w:val="00200CD3"/>
    <w:rsid w:val="00202833"/>
    <w:rsid w:val="00202DCF"/>
    <w:rsid w:val="002035AC"/>
    <w:rsid w:val="00203BE7"/>
    <w:rsid w:val="00203F6F"/>
    <w:rsid w:val="0020499C"/>
    <w:rsid w:val="002059F5"/>
    <w:rsid w:val="00206598"/>
    <w:rsid w:val="002065BA"/>
    <w:rsid w:val="00206FF8"/>
    <w:rsid w:val="002108D6"/>
    <w:rsid w:val="00212ADF"/>
    <w:rsid w:val="002135D5"/>
    <w:rsid w:val="002160D8"/>
    <w:rsid w:val="0021615D"/>
    <w:rsid w:val="00217277"/>
    <w:rsid w:val="002176B5"/>
    <w:rsid w:val="00223E56"/>
    <w:rsid w:val="002246B1"/>
    <w:rsid w:val="00226BDD"/>
    <w:rsid w:val="00227335"/>
    <w:rsid w:val="0022762F"/>
    <w:rsid w:val="00231279"/>
    <w:rsid w:val="00233560"/>
    <w:rsid w:val="0023456A"/>
    <w:rsid w:val="00234DED"/>
    <w:rsid w:val="00235278"/>
    <w:rsid w:val="00235872"/>
    <w:rsid w:val="00235CEF"/>
    <w:rsid w:val="002418B8"/>
    <w:rsid w:val="002438D7"/>
    <w:rsid w:val="00244F7F"/>
    <w:rsid w:val="002451B9"/>
    <w:rsid w:val="002454FD"/>
    <w:rsid w:val="002468AC"/>
    <w:rsid w:val="0025426F"/>
    <w:rsid w:val="002562DC"/>
    <w:rsid w:val="002563CA"/>
    <w:rsid w:val="00257088"/>
    <w:rsid w:val="00260729"/>
    <w:rsid w:val="00264106"/>
    <w:rsid w:val="002645F4"/>
    <w:rsid w:val="0026572C"/>
    <w:rsid w:val="0026691B"/>
    <w:rsid w:val="002670DB"/>
    <w:rsid w:val="00270ED2"/>
    <w:rsid w:val="0027140E"/>
    <w:rsid w:val="00273045"/>
    <w:rsid w:val="002730EB"/>
    <w:rsid w:val="00273E9D"/>
    <w:rsid w:val="00275A2D"/>
    <w:rsid w:val="00276BA6"/>
    <w:rsid w:val="00277D52"/>
    <w:rsid w:val="00280015"/>
    <w:rsid w:val="00281277"/>
    <w:rsid w:val="00282656"/>
    <w:rsid w:val="0028463A"/>
    <w:rsid w:val="0028516D"/>
    <w:rsid w:val="0029012A"/>
    <w:rsid w:val="002904F9"/>
    <w:rsid w:val="00290B37"/>
    <w:rsid w:val="002928DA"/>
    <w:rsid w:val="002943F3"/>
    <w:rsid w:val="00294591"/>
    <w:rsid w:val="00294A73"/>
    <w:rsid w:val="00295004"/>
    <w:rsid w:val="002A0386"/>
    <w:rsid w:val="002A1079"/>
    <w:rsid w:val="002A2A39"/>
    <w:rsid w:val="002A2C69"/>
    <w:rsid w:val="002A44E6"/>
    <w:rsid w:val="002A4684"/>
    <w:rsid w:val="002A5B85"/>
    <w:rsid w:val="002B3EF0"/>
    <w:rsid w:val="002B4F9F"/>
    <w:rsid w:val="002B5947"/>
    <w:rsid w:val="002B72E4"/>
    <w:rsid w:val="002C0F9F"/>
    <w:rsid w:val="002C1418"/>
    <w:rsid w:val="002C6845"/>
    <w:rsid w:val="002C7759"/>
    <w:rsid w:val="002C7DC1"/>
    <w:rsid w:val="002D1783"/>
    <w:rsid w:val="002D1F2A"/>
    <w:rsid w:val="002D3F83"/>
    <w:rsid w:val="002D4884"/>
    <w:rsid w:val="002D5287"/>
    <w:rsid w:val="002D5F23"/>
    <w:rsid w:val="002E1BE9"/>
    <w:rsid w:val="002E2CD6"/>
    <w:rsid w:val="002E3D92"/>
    <w:rsid w:val="002E4348"/>
    <w:rsid w:val="002E466D"/>
    <w:rsid w:val="002F00C1"/>
    <w:rsid w:val="002F0DA0"/>
    <w:rsid w:val="002F1844"/>
    <w:rsid w:val="002F33E9"/>
    <w:rsid w:val="0030035B"/>
    <w:rsid w:val="00305B4B"/>
    <w:rsid w:val="00311EA3"/>
    <w:rsid w:val="0031530D"/>
    <w:rsid w:val="00317C3A"/>
    <w:rsid w:val="00320110"/>
    <w:rsid w:val="003207DF"/>
    <w:rsid w:val="003212E5"/>
    <w:rsid w:val="00322E20"/>
    <w:rsid w:val="003232D0"/>
    <w:rsid w:val="00325D53"/>
    <w:rsid w:val="003273F7"/>
    <w:rsid w:val="003274C4"/>
    <w:rsid w:val="00327532"/>
    <w:rsid w:val="00330705"/>
    <w:rsid w:val="0033084A"/>
    <w:rsid w:val="00332151"/>
    <w:rsid w:val="0033262D"/>
    <w:rsid w:val="003326A4"/>
    <w:rsid w:val="00332F32"/>
    <w:rsid w:val="0033449D"/>
    <w:rsid w:val="003351FE"/>
    <w:rsid w:val="0033556C"/>
    <w:rsid w:val="003361EB"/>
    <w:rsid w:val="00340DF4"/>
    <w:rsid w:val="00341D5C"/>
    <w:rsid w:val="00343EA5"/>
    <w:rsid w:val="00345FFC"/>
    <w:rsid w:val="003467D5"/>
    <w:rsid w:val="0034688F"/>
    <w:rsid w:val="0034726A"/>
    <w:rsid w:val="003524F9"/>
    <w:rsid w:val="003529C0"/>
    <w:rsid w:val="003531BD"/>
    <w:rsid w:val="00353954"/>
    <w:rsid w:val="003546C3"/>
    <w:rsid w:val="0036202D"/>
    <w:rsid w:val="00362343"/>
    <w:rsid w:val="0036394D"/>
    <w:rsid w:val="00364D77"/>
    <w:rsid w:val="00365485"/>
    <w:rsid w:val="003670AC"/>
    <w:rsid w:val="00367995"/>
    <w:rsid w:val="00372791"/>
    <w:rsid w:val="0037401D"/>
    <w:rsid w:val="00376FF4"/>
    <w:rsid w:val="00380C46"/>
    <w:rsid w:val="00382F16"/>
    <w:rsid w:val="00383BE9"/>
    <w:rsid w:val="003916BF"/>
    <w:rsid w:val="00391E18"/>
    <w:rsid w:val="00392F1B"/>
    <w:rsid w:val="00396032"/>
    <w:rsid w:val="003A134D"/>
    <w:rsid w:val="003A2AA6"/>
    <w:rsid w:val="003A4BC9"/>
    <w:rsid w:val="003A4D11"/>
    <w:rsid w:val="003A6852"/>
    <w:rsid w:val="003A69C6"/>
    <w:rsid w:val="003B3309"/>
    <w:rsid w:val="003B4C66"/>
    <w:rsid w:val="003B4CC0"/>
    <w:rsid w:val="003B6901"/>
    <w:rsid w:val="003C0354"/>
    <w:rsid w:val="003C1A65"/>
    <w:rsid w:val="003C1D64"/>
    <w:rsid w:val="003C3095"/>
    <w:rsid w:val="003C4FC4"/>
    <w:rsid w:val="003C5B17"/>
    <w:rsid w:val="003C6D83"/>
    <w:rsid w:val="003C7A6C"/>
    <w:rsid w:val="003D0287"/>
    <w:rsid w:val="003D49C1"/>
    <w:rsid w:val="003D547A"/>
    <w:rsid w:val="003D582B"/>
    <w:rsid w:val="003E0E46"/>
    <w:rsid w:val="003E4D19"/>
    <w:rsid w:val="003E5C31"/>
    <w:rsid w:val="003E6372"/>
    <w:rsid w:val="003E78BE"/>
    <w:rsid w:val="003E7F08"/>
    <w:rsid w:val="003F066E"/>
    <w:rsid w:val="003F0A84"/>
    <w:rsid w:val="003F6909"/>
    <w:rsid w:val="003F6AD0"/>
    <w:rsid w:val="003F6DC7"/>
    <w:rsid w:val="00400B03"/>
    <w:rsid w:val="00400EC9"/>
    <w:rsid w:val="0040555C"/>
    <w:rsid w:val="004073BC"/>
    <w:rsid w:val="00410BB5"/>
    <w:rsid w:val="00414309"/>
    <w:rsid w:val="004152E8"/>
    <w:rsid w:val="004164C7"/>
    <w:rsid w:val="00421ECD"/>
    <w:rsid w:val="004225E5"/>
    <w:rsid w:val="004229E1"/>
    <w:rsid w:val="004258A1"/>
    <w:rsid w:val="00425ACC"/>
    <w:rsid w:val="00426598"/>
    <w:rsid w:val="00432A2C"/>
    <w:rsid w:val="00437611"/>
    <w:rsid w:val="00437DD1"/>
    <w:rsid w:val="00437FA8"/>
    <w:rsid w:val="00440CC7"/>
    <w:rsid w:val="00440ED0"/>
    <w:rsid w:val="00441329"/>
    <w:rsid w:val="004454EE"/>
    <w:rsid w:val="00446A0F"/>
    <w:rsid w:val="00450981"/>
    <w:rsid w:val="00451290"/>
    <w:rsid w:val="004535B9"/>
    <w:rsid w:val="004547A1"/>
    <w:rsid w:val="0045651D"/>
    <w:rsid w:val="00456862"/>
    <w:rsid w:val="00460555"/>
    <w:rsid w:val="004607C0"/>
    <w:rsid w:val="00466C68"/>
    <w:rsid w:val="00470074"/>
    <w:rsid w:val="00471691"/>
    <w:rsid w:val="00472827"/>
    <w:rsid w:val="0047405F"/>
    <w:rsid w:val="00474062"/>
    <w:rsid w:val="004760E1"/>
    <w:rsid w:val="00480ED0"/>
    <w:rsid w:val="004811DC"/>
    <w:rsid w:val="00483101"/>
    <w:rsid w:val="00484516"/>
    <w:rsid w:val="004858DA"/>
    <w:rsid w:val="00486A71"/>
    <w:rsid w:val="00487E0A"/>
    <w:rsid w:val="0049280D"/>
    <w:rsid w:val="00493A1A"/>
    <w:rsid w:val="0049477C"/>
    <w:rsid w:val="00497895"/>
    <w:rsid w:val="00497EB7"/>
    <w:rsid w:val="004A0D22"/>
    <w:rsid w:val="004A193C"/>
    <w:rsid w:val="004A1BAF"/>
    <w:rsid w:val="004A1E01"/>
    <w:rsid w:val="004A230E"/>
    <w:rsid w:val="004A3231"/>
    <w:rsid w:val="004A35A3"/>
    <w:rsid w:val="004A3BBF"/>
    <w:rsid w:val="004A5520"/>
    <w:rsid w:val="004A67EB"/>
    <w:rsid w:val="004A704F"/>
    <w:rsid w:val="004B7317"/>
    <w:rsid w:val="004B76F0"/>
    <w:rsid w:val="004C47F0"/>
    <w:rsid w:val="004C6393"/>
    <w:rsid w:val="004C64C0"/>
    <w:rsid w:val="004C6C62"/>
    <w:rsid w:val="004C73D8"/>
    <w:rsid w:val="004D0312"/>
    <w:rsid w:val="004D1BE1"/>
    <w:rsid w:val="004D4C7D"/>
    <w:rsid w:val="004D4FDE"/>
    <w:rsid w:val="004D58F5"/>
    <w:rsid w:val="004D6140"/>
    <w:rsid w:val="004D6586"/>
    <w:rsid w:val="004D6FBE"/>
    <w:rsid w:val="004D7F47"/>
    <w:rsid w:val="004E15EF"/>
    <w:rsid w:val="004E2E0A"/>
    <w:rsid w:val="004E489F"/>
    <w:rsid w:val="004E4946"/>
    <w:rsid w:val="004E533C"/>
    <w:rsid w:val="004F329D"/>
    <w:rsid w:val="004F385F"/>
    <w:rsid w:val="004F4117"/>
    <w:rsid w:val="004F5543"/>
    <w:rsid w:val="004F5B7F"/>
    <w:rsid w:val="004F6382"/>
    <w:rsid w:val="004F6EB2"/>
    <w:rsid w:val="00501CA6"/>
    <w:rsid w:val="00504408"/>
    <w:rsid w:val="0050575E"/>
    <w:rsid w:val="00506A3C"/>
    <w:rsid w:val="00511101"/>
    <w:rsid w:val="00511179"/>
    <w:rsid w:val="00511920"/>
    <w:rsid w:val="00512F6F"/>
    <w:rsid w:val="00514562"/>
    <w:rsid w:val="00516D7D"/>
    <w:rsid w:val="0051773A"/>
    <w:rsid w:val="005229F8"/>
    <w:rsid w:val="00522B25"/>
    <w:rsid w:val="005238D4"/>
    <w:rsid w:val="0052652D"/>
    <w:rsid w:val="0053460D"/>
    <w:rsid w:val="00534C80"/>
    <w:rsid w:val="00534F13"/>
    <w:rsid w:val="00540977"/>
    <w:rsid w:val="0054124A"/>
    <w:rsid w:val="00541CA4"/>
    <w:rsid w:val="00541E56"/>
    <w:rsid w:val="00545472"/>
    <w:rsid w:val="005458D9"/>
    <w:rsid w:val="00550042"/>
    <w:rsid w:val="00550E50"/>
    <w:rsid w:val="00553A3B"/>
    <w:rsid w:val="005571F3"/>
    <w:rsid w:val="00557FC9"/>
    <w:rsid w:val="00561F4C"/>
    <w:rsid w:val="0056400A"/>
    <w:rsid w:val="00565198"/>
    <w:rsid w:val="00566DDF"/>
    <w:rsid w:val="005671E0"/>
    <w:rsid w:val="005673EE"/>
    <w:rsid w:val="00567D82"/>
    <w:rsid w:val="00570363"/>
    <w:rsid w:val="00571989"/>
    <w:rsid w:val="005734FC"/>
    <w:rsid w:val="00573892"/>
    <w:rsid w:val="00573A59"/>
    <w:rsid w:val="00576B5D"/>
    <w:rsid w:val="0058058D"/>
    <w:rsid w:val="00580C7C"/>
    <w:rsid w:val="00580DCE"/>
    <w:rsid w:val="00581095"/>
    <w:rsid w:val="0058264B"/>
    <w:rsid w:val="005830E0"/>
    <w:rsid w:val="00584260"/>
    <w:rsid w:val="0058618F"/>
    <w:rsid w:val="005865B2"/>
    <w:rsid w:val="00587487"/>
    <w:rsid w:val="00593AD9"/>
    <w:rsid w:val="00595BF9"/>
    <w:rsid w:val="00596444"/>
    <w:rsid w:val="005A18A7"/>
    <w:rsid w:val="005A3E00"/>
    <w:rsid w:val="005A7A6C"/>
    <w:rsid w:val="005A7C74"/>
    <w:rsid w:val="005B04B6"/>
    <w:rsid w:val="005B45EE"/>
    <w:rsid w:val="005B69D8"/>
    <w:rsid w:val="005C1B1E"/>
    <w:rsid w:val="005C43CA"/>
    <w:rsid w:val="005C474A"/>
    <w:rsid w:val="005C6432"/>
    <w:rsid w:val="005C6571"/>
    <w:rsid w:val="005C6C91"/>
    <w:rsid w:val="005C6F10"/>
    <w:rsid w:val="005D007A"/>
    <w:rsid w:val="005D1681"/>
    <w:rsid w:val="005D1CDA"/>
    <w:rsid w:val="005D1D7B"/>
    <w:rsid w:val="005D3491"/>
    <w:rsid w:val="005D39FB"/>
    <w:rsid w:val="005D5612"/>
    <w:rsid w:val="005D5929"/>
    <w:rsid w:val="005D6AD1"/>
    <w:rsid w:val="005D6DAC"/>
    <w:rsid w:val="005D73C4"/>
    <w:rsid w:val="005E2233"/>
    <w:rsid w:val="005E27EC"/>
    <w:rsid w:val="005E6C49"/>
    <w:rsid w:val="005F265E"/>
    <w:rsid w:val="005F29DF"/>
    <w:rsid w:val="005F2EEF"/>
    <w:rsid w:val="005F30D2"/>
    <w:rsid w:val="005F4D9C"/>
    <w:rsid w:val="005F7A1A"/>
    <w:rsid w:val="00601A5B"/>
    <w:rsid w:val="00605FE2"/>
    <w:rsid w:val="00607596"/>
    <w:rsid w:val="00607E1E"/>
    <w:rsid w:val="0061236C"/>
    <w:rsid w:val="00613F06"/>
    <w:rsid w:val="00615BC7"/>
    <w:rsid w:val="00616E13"/>
    <w:rsid w:val="006208AA"/>
    <w:rsid w:val="0062173E"/>
    <w:rsid w:val="006236E7"/>
    <w:rsid w:val="00623FAA"/>
    <w:rsid w:val="006244DF"/>
    <w:rsid w:val="006253F2"/>
    <w:rsid w:val="00625F26"/>
    <w:rsid w:val="00627F54"/>
    <w:rsid w:val="006305ED"/>
    <w:rsid w:val="0063121B"/>
    <w:rsid w:val="00632481"/>
    <w:rsid w:val="00633919"/>
    <w:rsid w:val="0063536C"/>
    <w:rsid w:val="00636DEB"/>
    <w:rsid w:val="00637392"/>
    <w:rsid w:val="0064002F"/>
    <w:rsid w:val="006414CE"/>
    <w:rsid w:val="006425E8"/>
    <w:rsid w:val="00644E22"/>
    <w:rsid w:val="00645CE2"/>
    <w:rsid w:val="00646A92"/>
    <w:rsid w:val="0064713E"/>
    <w:rsid w:val="00647AD0"/>
    <w:rsid w:val="00647D97"/>
    <w:rsid w:val="006504EE"/>
    <w:rsid w:val="006524E2"/>
    <w:rsid w:val="00652637"/>
    <w:rsid w:val="006540C1"/>
    <w:rsid w:val="006562D6"/>
    <w:rsid w:val="00657B38"/>
    <w:rsid w:val="00657C2F"/>
    <w:rsid w:val="006613A8"/>
    <w:rsid w:val="00663C4E"/>
    <w:rsid w:val="00664671"/>
    <w:rsid w:val="00664796"/>
    <w:rsid w:val="0066552F"/>
    <w:rsid w:val="00665E01"/>
    <w:rsid w:val="00666A7B"/>
    <w:rsid w:val="00672271"/>
    <w:rsid w:val="00672892"/>
    <w:rsid w:val="00673210"/>
    <w:rsid w:val="00673FDE"/>
    <w:rsid w:val="006771F4"/>
    <w:rsid w:val="00682095"/>
    <w:rsid w:val="0068341A"/>
    <w:rsid w:val="00684055"/>
    <w:rsid w:val="00684406"/>
    <w:rsid w:val="00684977"/>
    <w:rsid w:val="0069119B"/>
    <w:rsid w:val="00693441"/>
    <w:rsid w:val="00693B3E"/>
    <w:rsid w:val="00694FB0"/>
    <w:rsid w:val="006A017F"/>
    <w:rsid w:val="006A6F64"/>
    <w:rsid w:val="006A7F41"/>
    <w:rsid w:val="006A7F46"/>
    <w:rsid w:val="006B0C53"/>
    <w:rsid w:val="006B242A"/>
    <w:rsid w:val="006B2E47"/>
    <w:rsid w:val="006B4AE4"/>
    <w:rsid w:val="006B4E9B"/>
    <w:rsid w:val="006B5177"/>
    <w:rsid w:val="006C2CC8"/>
    <w:rsid w:val="006C308B"/>
    <w:rsid w:val="006C508B"/>
    <w:rsid w:val="006C532D"/>
    <w:rsid w:val="006C659A"/>
    <w:rsid w:val="006C7FF7"/>
    <w:rsid w:val="006D002F"/>
    <w:rsid w:val="006D012B"/>
    <w:rsid w:val="006D24FD"/>
    <w:rsid w:val="006D2D06"/>
    <w:rsid w:val="006D4FB3"/>
    <w:rsid w:val="006E04B1"/>
    <w:rsid w:val="006E41AA"/>
    <w:rsid w:val="006E51DE"/>
    <w:rsid w:val="006E6C51"/>
    <w:rsid w:val="006F0A22"/>
    <w:rsid w:val="006F261D"/>
    <w:rsid w:val="006F4E4E"/>
    <w:rsid w:val="006F5D1E"/>
    <w:rsid w:val="006F6DAF"/>
    <w:rsid w:val="006F788F"/>
    <w:rsid w:val="006F7AA6"/>
    <w:rsid w:val="00701178"/>
    <w:rsid w:val="00701890"/>
    <w:rsid w:val="00704D26"/>
    <w:rsid w:val="00706FE4"/>
    <w:rsid w:val="007100A9"/>
    <w:rsid w:val="00711034"/>
    <w:rsid w:val="00712192"/>
    <w:rsid w:val="0071375F"/>
    <w:rsid w:val="00713F52"/>
    <w:rsid w:val="00720608"/>
    <w:rsid w:val="00721767"/>
    <w:rsid w:val="00721D3D"/>
    <w:rsid w:val="00722220"/>
    <w:rsid w:val="0072273A"/>
    <w:rsid w:val="007301C7"/>
    <w:rsid w:val="007364C4"/>
    <w:rsid w:val="00736838"/>
    <w:rsid w:val="007373C5"/>
    <w:rsid w:val="0073773B"/>
    <w:rsid w:val="007418AA"/>
    <w:rsid w:val="007441B9"/>
    <w:rsid w:val="00750515"/>
    <w:rsid w:val="007511B4"/>
    <w:rsid w:val="0075272E"/>
    <w:rsid w:val="0075300E"/>
    <w:rsid w:val="0075558D"/>
    <w:rsid w:val="007605E9"/>
    <w:rsid w:val="00760AF3"/>
    <w:rsid w:val="00761A37"/>
    <w:rsid w:val="0076698C"/>
    <w:rsid w:val="00766A85"/>
    <w:rsid w:val="00771FFB"/>
    <w:rsid w:val="0077333F"/>
    <w:rsid w:val="007748BD"/>
    <w:rsid w:val="00777596"/>
    <w:rsid w:val="0077773E"/>
    <w:rsid w:val="007779AE"/>
    <w:rsid w:val="007818F3"/>
    <w:rsid w:val="00781BB5"/>
    <w:rsid w:val="007821D1"/>
    <w:rsid w:val="007824C8"/>
    <w:rsid w:val="00782682"/>
    <w:rsid w:val="00784C3F"/>
    <w:rsid w:val="00785B7F"/>
    <w:rsid w:val="007865E1"/>
    <w:rsid w:val="007871A9"/>
    <w:rsid w:val="00793F31"/>
    <w:rsid w:val="0079400E"/>
    <w:rsid w:val="00794491"/>
    <w:rsid w:val="007952F6"/>
    <w:rsid w:val="007A0E12"/>
    <w:rsid w:val="007A5141"/>
    <w:rsid w:val="007A6B6C"/>
    <w:rsid w:val="007A6F74"/>
    <w:rsid w:val="007A7D00"/>
    <w:rsid w:val="007B2FA8"/>
    <w:rsid w:val="007B35DF"/>
    <w:rsid w:val="007B4B13"/>
    <w:rsid w:val="007B4CCB"/>
    <w:rsid w:val="007B5B9F"/>
    <w:rsid w:val="007B5F12"/>
    <w:rsid w:val="007B7023"/>
    <w:rsid w:val="007B7378"/>
    <w:rsid w:val="007C19C6"/>
    <w:rsid w:val="007C1D59"/>
    <w:rsid w:val="007C287A"/>
    <w:rsid w:val="007C4A17"/>
    <w:rsid w:val="007C7D3A"/>
    <w:rsid w:val="007D11A0"/>
    <w:rsid w:val="007D4550"/>
    <w:rsid w:val="007D6776"/>
    <w:rsid w:val="007E027C"/>
    <w:rsid w:val="007E0FE8"/>
    <w:rsid w:val="007E10EE"/>
    <w:rsid w:val="007E318B"/>
    <w:rsid w:val="007E340A"/>
    <w:rsid w:val="007F067C"/>
    <w:rsid w:val="007F0FF4"/>
    <w:rsid w:val="007F2A31"/>
    <w:rsid w:val="007F2DC3"/>
    <w:rsid w:val="007F40D6"/>
    <w:rsid w:val="007F5070"/>
    <w:rsid w:val="007F59C4"/>
    <w:rsid w:val="007F67A8"/>
    <w:rsid w:val="007F7299"/>
    <w:rsid w:val="00800ACE"/>
    <w:rsid w:val="008018C5"/>
    <w:rsid w:val="0080221C"/>
    <w:rsid w:val="00804409"/>
    <w:rsid w:val="00807A59"/>
    <w:rsid w:val="008103EB"/>
    <w:rsid w:val="00810A2F"/>
    <w:rsid w:val="00814082"/>
    <w:rsid w:val="008144B4"/>
    <w:rsid w:val="0081516C"/>
    <w:rsid w:val="00815CAF"/>
    <w:rsid w:val="00815F4B"/>
    <w:rsid w:val="00816EA8"/>
    <w:rsid w:val="00826283"/>
    <w:rsid w:val="008274DD"/>
    <w:rsid w:val="0083261D"/>
    <w:rsid w:val="00832950"/>
    <w:rsid w:val="00832FC4"/>
    <w:rsid w:val="008331E8"/>
    <w:rsid w:val="00836774"/>
    <w:rsid w:val="00836C29"/>
    <w:rsid w:val="00837D1E"/>
    <w:rsid w:val="008404F5"/>
    <w:rsid w:val="00843B5C"/>
    <w:rsid w:val="00843C57"/>
    <w:rsid w:val="008440A5"/>
    <w:rsid w:val="008458D8"/>
    <w:rsid w:val="00845DEF"/>
    <w:rsid w:val="00846821"/>
    <w:rsid w:val="00850B74"/>
    <w:rsid w:val="00851860"/>
    <w:rsid w:val="00851B42"/>
    <w:rsid w:val="00853741"/>
    <w:rsid w:val="00854355"/>
    <w:rsid w:val="00855C4B"/>
    <w:rsid w:val="00856389"/>
    <w:rsid w:val="00861C09"/>
    <w:rsid w:val="0086215B"/>
    <w:rsid w:val="008626A7"/>
    <w:rsid w:val="00862B34"/>
    <w:rsid w:val="008636F3"/>
    <w:rsid w:val="00864374"/>
    <w:rsid w:val="008646C2"/>
    <w:rsid w:val="0086530C"/>
    <w:rsid w:val="00865D8C"/>
    <w:rsid w:val="00866783"/>
    <w:rsid w:val="00866BB7"/>
    <w:rsid w:val="008672F5"/>
    <w:rsid w:val="00873A2D"/>
    <w:rsid w:val="00875629"/>
    <w:rsid w:val="008758B8"/>
    <w:rsid w:val="00876ACD"/>
    <w:rsid w:val="0088147C"/>
    <w:rsid w:val="00884181"/>
    <w:rsid w:val="00886E92"/>
    <w:rsid w:val="00887919"/>
    <w:rsid w:val="008942A7"/>
    <w:rsid w:val="008943EF"/>
    <w:rsid w:val="008947D8"/>
    <w:rsid w:val="008959BE"/>
    <w:rsid w:val="008971DE"/>
    <w:rsid w:val="008975C0"/>
    <w:rsid w:val="008A3A86"/>
    <w:rsid w:val="008A47B8"/>
    <w:rsid w:val="008A5505"/>
    <w:rsid w:val="008A66F7"/>
    <w:rsid w:val="008A67F5"/>
    <w:rsid w:val="008B1BA4"/>
    <w:rsid w:val="008B2AE0"/>
    <w:rsid w:val="008B443E"/>
    <w:rsid w:val="008B44ED"/>
    <w:rsid w:val="008B71A3"/>
    <w:rsid w:val="008C3912"/>
    <w:rsid w:val="008C3E0B"/>
    <w:rsid w:val="008C77BA"/>
    <w:rsid w:val="008D04B3"/>
    <w:rsid w:val="008D0B62"/>
    <w:rsid w:val="008D305D"/>
    <w:rsid w:val="008D344D"/>
    <w:rsid w:val="008D345B"/>
    <w:rsid w:val="008D3771"/>
    <w:rsid w:val="008D3F50"/>
    <w:rsid w:val="008D3FE3"/>
    <w:rsid w:val="008D41A1"/>
    <w:rsid w:val="008D455C"/>
    <w:rsid w:val="008D62FA"/>
    <w:rsid w:val="008D6A50"/>
    <w:rsid w:val="008E1C86"/>
    <w:rsid w:val="008E1E23"/>
    <w:rsid w:val="008E2B58"/>
    <w:rsid w:val="008E3308"/>
    <w:rsid w:val="008E37EB"/>
    <w:rsid w:val="008E6011"/>
    <w:rsid w:val="008E64DD"/>
    <w:rsid w:val="008E65D2"/>
    <w:rsid w:val="008E704F"/>
    <w:rsid w:val="008E707F"/>
    <w:rsid w:val="008E7647"/>
    <w:rsid w:val="008E7765"/>
    <w:rsid w:val="008E7BCF"/>
    <w:rsid w:val="008F01C3"/>
    <w:rsid w:val="008F1AB7"/>
    <w:rsid w:val="008F3AD0"/>
    <w:rsid w:val="008F4364"/>
    <w:rsid w:val="008F560B"/>
    <w:rsid w:val="008F57BE"/>
    <w:rsid w:val="008F6E7D"/>
    <w:rsid w:val="008F70E5"/>
    <w:rsid w:val="008F7EC8"/>
    <w:rsid w:val="00901A68"/>
    <w:rsid w:val="009029DB"/>
    <w:rsid w:val="009132F7"/>
    <w:rsid w:val="00916AD5"/>
    <w:rsid w:val="00920216"/>
    <w:rsid w:val="0092148D"/>
    <w:rsid w:val="009217DD"/>
    <w:rsid w:val="00921DD6"/>
    <w:rsid w:val="009266CE"/>
    <w:rsid w:val="00927864"/>
    <w:rsid w:val="009334E2"/>
    <w:rsid w:val="009341CC"/>
    <w:rsid w:val="00935BBC"/>
    <w:rsid w:val="00937B5A"/>
    <w:rsid w:val="0094221F"/>
    <w:rsid w:val="00943516"/>
    <w:rsid w:val="00943FAE"/>
    <w:rsid w:val="0094598D"/>
    <w:rsid w:val="00945A08"/>
    <w:rsid w:val="00946AAD"/>
    <w:rsid w:val="00950155"/>
    <w:rsid w:val="0095023D"/>
    <w:rsid w:val="00951682"/>
    <w:rsid w:val="00955820"/>
    <w:rsid w:val="00955BDA"/>
    <w:rsid w:val="009563DB"/>
    <w:rsid w:val="009625F4"/>
    <w:rsid w:val="009651E8"/>
    <w:rsid w:val="00965217"/>
    <w:rsid w:val="00966FC1"/>
    <w:rsid w:val="009676BA"/>
    <w:rsid w:val="00970DE1"/>
    <w:rsid w:val="00971B51"/>
    <w:rsid w:val="00971E63"/>
    <w:rsid w:val="00974602"/>
    <w:rsid w:val="009750A5"/>
    <w:rsid w:val="009809D5"/>
    <w:rsid w:val="00984AE2"/>
    <w:rsid w:val="00985422"/>
    <w:rsid w:val="00990048"/>
    <w:rsid w:val="00990C65"/>
    <w:rsid w:val="00990E1D"/>
    <w:rsid w:val="00990E22"/>
    <w:rsid w:val="00991227"/>
    <w:rsid w:val="0099249F"/>
    <w:rsid w:val="00992857"/>
    <w:rsid w:val="00992892"/>
    <w:rsid w:val="009934D7"/>
    <w:rsid w:val="0099391E"/>
    <w:rsid w:val="00993D39"/>
    <w:rsid w:val="00995D4A"/>
    <w:rsid w:val="009963A2"/>
    <w:rsid w:val="00997131"/>
    <w:rsid w:val="009A1CBB"/>
    <w:rsid w:val="009A30E3"/>
    <w:rsid w:val="009A453B"/>
    <w:rsid w:val="009A485C"/>
    <w:rsid w:val="009A706F"/>
    <w:rsid w:val="009A7F59"/>
    <w:rsid w:val="009B179B"/>
    <w:rsid w:val="009B1827"/>
    <w:rsid w:val="009B1DA5"/>
    <w:rsid w:val="009B4B1C"/>
    <w:rsid w:val="009B547C"/>
    <w:rsid w:val="009B5D37"/>
    <w:rsid w:val="009C60E3"/>
    <w:rsid w:val="009C6E40"/>
    <w:rsid w:val="009C6FD8"/>
    <w:rsid w:val="009C742D"/>
    <w:rsid w:val="009C746A"/>
    <w:rsid w:val="009C7534"/>
    <w:rsid w:val="009C792C"/>
    <w:rsid w:val="009C7AFA"/>
    <w:rsid w:val="009D19EE"/>
    <w:rsid w:val="009D3D09"/>
    <w:rsid w:val="009D419E"/>
    <w:rsid w:val="009D481C"/>
    <w:rsid w:val="009D4DFA"/>
    <w:rsid w:val="009D60A0"/>
    <w:rsid w:val="009D6260"/>
    <w:rsid w:val="009E0A4F"/>
    <w:rsid w:val="009E1AA7"/>
    <w:rsid w:val="009E45DE"/>
    <w:rsid w:val="009E546D"/>
    <w:rsid w:val="009E65B6"/>
    <w:rsid w:val="009E7B76"/>
    <w:rsid w:val="009F01A6"/>
    <w:rsid w:val="009F0E28"/>
    <w:rsid w:val="009F2794"/>
    <w:rsid w:val="009F2B1C"/>
    <w:rsid w:val="009F52EC"/>
    <w:rsid w:val="00A02964"/>
    <w:rsid w:val="00A0312E"/>
    <w:rsid w:val="00A04922"/>
    <w:rsid w:val="00A061C1"/>
    <w:rsid w:val="00A06F80"/>
    <w:rsid w:val="00A107EE"/>
    <w:rsid w:val="00A143F3"/>
    <w:rsid w:val="00A14839"/>
    <w:rsid w:val="00A15431"/>
    <w:rsid w:val="00A15807"/>
    <w:rsid w:val="00A15EB8"/>
    <w:rsid w:val="00A161E0"/>
    <w:rsid w:val="00A167B8"/>
    <w:rsid w:val="00A16B62"/>
    <w:rsid w:val="00A20161"/>
    <w:rsid w:val="00A2145D"/>
    <w:rsid w:val="00A21AEB"/>
    <w:rsid w:val="00A2242E"/>
    <w:rsid w:val="00A225B9"/>
    <w:rsid w:val="00A33DD8"/>
    <w:rsid w:val="00A34495"/>
    <w:rsid w:val="00A34CAD"/>
    <w:rsid w:val="00A37BF7"/>
    <w:rsid w:val="00A4082C"/>
    <w:rsid w:val="00A4113F"/>
    <w:rsid w:val="00A41688"/>
    <w:rsid w:val="00A422C7"/>
    <w:rsid w:val="00A42D24"/>
    <w:rsid w:val="00A43637"/>
    <w:rsid w:val="00A45F10"/>
    <w:rsid w:val="00A46F6C"/>
    <w:rsid w:val="00A50D14"/>
    <w:rsid w:val="00A533AD"/>
    <w:rsid w:val="00A542E8"/>
    <w:rsid w:val="00A55654"/>
    <w:rsid w:val="00A60694"/>
    <w:rsid w:val="00A6293B"/>
    <w:rsid w:val="00A656E4"/>
    <w:rsid w:val="00A66BCF"/>
    <w:rsid w:val="00A703BA"/>
    <w:rsid w:val="00A70D2F"/>
    <w:rsid w:val="00A71CCA"/>
    <w:rsid w:val="00A72B63"/>
    <w:rsid w:val="00A74D03"/>
    <w:rsid w:val="00A755C8"/>
    <w:rsid w:val="00A76768"/>
    <w:rsid w:val="00A76D52"/>
    <w:rsid w:val="00A81C86"/>
    <w:rsid w:val="00A82955"/>
    <w:rsid w:val="00A87474"/>
    <w:rsid w:val="00A904F3"/>
    <w:rsid w:val="00A91E52"/>
    <w:rsid w:val="00A92271"/>
    <w:rsid w:val="00A9240B"/>
    <w:rsid w:val="00A93049"/>
    <w:rsid w:val="00A93C62"/>
    <w:rsid w:val="00A9411B"/>
    <w:rsid w:val="00A97243"/>
    <w:rsid w:val="00AA4654"/>
    <w:rsid w:val="00AA59EB"/>
    <w:rsid w:val="00AA757B"/>
    <w:rsid w:val="00AB0440"/>
    <w:rsid w:val="00AB3928"/>
    <w:rsid w:val="00AB436B"/>
    <w:rsid w:val="00AB58D1"/>
    <w:rsid w:val="00AB5FA2"/>
    <w:rsid w:val="00AB6928"/>
    <w:rsid w:val="00AC34A4"/>
    <w:rsid w:val="00AC3D5A"/>
    <w:rsid w:val="00AC488F"/>
    <w:rsid w:val="00AC4D32"/>
    <w:rsid w:val="00AC77AA"/>
    <w:rsid w:val="00AD137C"/>
    <w:rsid w:val="00AD2F73"/>
    <w:rsid w:val="00AD34A5"/>
    <w:rsid w:val="00AD3C97"/>
    <w:rsid w:val="00AD54A5"/>
    <w:rsid w:val="00AD6FFB"/>
    <w:rsid w:val="00AE2429"/>
    <w:rsid w:val="00AE5280"/>
    <w:rsid w:val="00AE6020"/>
    <w:rsid w:val="00AE6122"/>
    <w:rsid w:val="00AE64FC"/>
    <w:rsid w:val="00AE7A7F"/>
    <w:rsid w:val="00AF1038"/>
    <w:rsid w:val="00AF133E"/>
    <w:rsid w:val="00AF47B4"/>
    <w:rsid w:val="00AF6000"/>
    <w:rsid w:val="00B007A3"/>
    <w:rsid w:val="00B00830"/>
    <w:rsid w:val="00B036FE"/>
    <w:rsid w:val="00B03B3C"/>
    <w:rsid w:val="00B04C22"/>
    <w:rsid w:val="00B05259"/>
    <w:rsid w:val="00B07A6A"/>
    <w:rsid w:val="00B07E6A"/>
    <w:rsid w:val="00B103B2"/>
    <w:rsid w:val="00B10AC0"/>
    <w:rsid w:val="00B132A2"/>
    <w:rsid w:val="00B14AF0"/>
    <w:rsid w:val="00B14FAD"/>
    <w:rsid w:val="00B1598E"/>
    <w:rsid w:val="00B15F86"/>
    <w:rsid w:val="00B179BD"/>
    <w:rsid w:val="00B204F4"/>
    <w:rsid w:val="00B2055C"/>
    <w:rsid w:val="00B21C2B"/>
    <w:rsid w:val="00B21CE8"/>
    <w:rsid w:val="00B23E90"/>
    <w:rsid w:val="00B2457D"/>
    <w:rsid w:val="00B2558C"/>
    <w:rsid w:val="00B2784D"/>
    <w:rsid w:val="00B31034"/>
    <w:rsid w:val="00B318B2"/>
    <w:rsid w:val="00B31E33"/>
    <w:rsid w:val="00B32DF0"/>
    <w:rsid w:val="00B37519"/>
    <w:rsid w:val="00B40461"/>
    <w:rsid w:val="00B40A30"/>
    <w:rsid w:val="00B44496"/>
    <w:rsid w:val="00B451C9"/>
    <w:rsid w:val="00B47C8D"/>
    <w:rsid w:val="00B502E2"/>
    <w:rsid w:val="00B51335"/>
    <w:rsid w:val="00B51352"/>
    <w:rsid w:val="00B543E7"/>
    <w:rsid w:val="00B562E6"/>
    <w:rsid w:val="00B57427"/>
    <w:rsid w:val="00B5752D"/>
    <w:rsid w:val="00B57682"/>
    <w:rsid w:val="00B5784F"/>
    <w:rsid w:val="00B57BAE"/>
    <w:rsid w:val="00B609C9"/>
    <w:rsid w:val="00B627F1"/>
    <w:rsid w:val="00B62F4F"/>
    <w:rsid w:val="00B638D4"/>
    <w:rsid w:val="00B639B2"/>
    <w:rsid w:val="00B67484"/>
    <w:rsid w:val="00B67902"/>
    <w:rsid w:val="00B70903"/>
    <w:rsid w:val="00B70A1F"/>
    <w:rsid w:val="00B73A97"/>
    <w:rsid w:val="00B75C25"/>
    <w:rsid w:val="00B764C5"/>
    <w:rsid w:val="00B766D0"/>
    <w:rsid w:val="00B77851"/>
    <w:rsid w:val="00B80378"/>
    <w:rsid w:val="00B816EC"/>
    <w:rsid w:val="00B8182F"/>
    <w:rsid w:val="00B8331A"/>
    <w:rsid w:val="00B83BD8"/>
    <w:rsid w:val="00B847E4"/>
    <w:rsid w:val="00B84F13"/>
    <w:rsid w:val="00B85910"/>
    <w:rsid w:val="00B87A58"/>
    <w:rsid w:val="00B91495"/>
    <w:rsid w:val="00B937EC"/>
    <w:rsid w:val="00B94BC1"/>
    <w:rsid w:val="00B96736"/>
    <w:rsid w:val="00B97677"/>
    <w:rsid w:val="00BA13F6"/>
    <w:rsid w:val="00BA202B"/>
    <w:rsid w:val="00BA305C"/>
    <w:rsid w:val="00BA3F7D"/>
    <w:rsid w:val="00BA3FCE"/>
    <w:rsid w:val="00BB0C57"/>
    <w:rsid w:val="00BB1496"/>
    <w:rsid w:val="00BB2999"/>
    <w:rsid w:val="00BB73EC"/>
    <w:rsid w:val="00BC08F7"/>
    <w:rsid w:val="00BC134D"/>
    <w:rsid w:val="00BC1729"/>
    <w:rsid w:val="00BC1D3E"/>
    <w:rsid w:val="00BC3B62"/>
    <w:rsid w:val="00BC5714"/>
    <w:rsid w:val="00BD0546"/>
    <w:rsid w:val="00BD53D3"/>
    <w:rsid w:val="00BE0CA4"/>
    <w:rsid w:val="00BE1B07"/>
    <w:rsid w:val="00BE2A87"/>
    <w:rsid w:val="00BE3C7F"/>
    <w:rsid w:val="00BE6203"/>
    <w:rsid w:val="00BE7413"/>
    <w:rsid w:val="00BE7762"/>
    <w:rsid w:val="00BF11F6"/>
    <w:rsid w:val="00BF30A2"/>
    <w:rsid w:val="00BF371D"/>
    <w:rsid w:val="00BF6602"/>
    <w:rsid w:val="00BF6D6C"/>
    <w:rsid w:val="00BF7CFC"/>
    <w:rsid w:val="00C00BD7"/>
    <w:rsid w:val="00C00DB3"/>
    <w:rsid w:val="00C04F91"/>
    <w:rsid w:val="00C058BB"/>
    <w:rsid w:val="00C119A9"/>
    <w:rsid w:val="00C11B75"/>
    <w:rsid w:val="00C12887"/>
    <w:rsid w:val="00C132E5"/>
    <w:rsid w:val="00C13569"/>
    <w:rsid w:val="00C14C4F"/>
    <w:rsid w:val="00C1544A"/>
    <w:rsid w:val="00C20F19"/>
    <w:rsid w:val="00C215FA"/>
    <w:rsid w:val="00C225BE"/>
    <w:rsid w:val="00C23226"/>
    <w:rsid w:val="00C23D7A"/>
    <w:rsid w:val="00C24A77"/>
    <w:rsid w:val="00C25646"/>
    <w:rsid w:val="00C25847"/>
    <w:rsid w:val="00C262E6"/>
    <w:rsid w:val="00C27DD4"/>
    <w:rsid w:val="00C308AD"/>
    <w:rsid w:val="00C330C6"/>
    <w:rsid w:val="00C34C4E"/>
    <w:rsid w:val="00C42508"/>
    <w:rsid w:val="00C44415"/>
    <w:rsid w:val="00C4495E"/>
    <w:rsid w:val="00C455F4"/>
    <w:rsid w:val="00C456CA"/>
    <w:rsid w:val="00C46EA7"/>
    <w:rsid w:val="00C47812"/>
    <w:rsid w:val="00C47A34"/>
    <w:rsid w:val="00C5202C"/>
    <w:rsid w:val="00C54AC2"/>
    <w:rsid w:val="00C56D4C"/>
    <w:rsid w:val="00C571CA"/>
    <w:rsid w:val="00C575FE"/>
    <w:rsid w:val="00C61B09"/>
    <w:rsid w:val="00C6281C"/>
    <w:rsid w:val="00C63279"/>
    <w:rsid w:val="00C6436B"/>
    <w:rsid w:val="00C66998"/>
    <w:rsid w:val="00C670DA"/>
    <w:rsid w:val="00C67366"/>
    <w:rsid w:val="00C7014E"/>
    <w:rsid w:val="00C70F58"/>
    <w:rsid w:val="00C74D94"/>
    <w:rsid w:val="00C76C2F"/>
    <w:rsid w:val="00C7721E"/>
    <w:rsid w:val="00C800DB"/>
    <w:rsid w:val="00C816B0"/>
    <w:rsid w:val="00C837A1"/>
    <w:rsid w:val="00C85C28"/>
    <w:rsid w:val="00C9058B"/>
    <w:rsid w:val="00C91B18"/>
    <w:rsid w:val="00C91C51"/>
    <w:rsid w:val="00C92CD3"/>
    <w:rsid w:val="00C948CB"/>
    <w:rsid w:val="00C94A50"/>
    <w:rsid w:val="00C95260"/>
    <w:rsid w:val="00C96B50"/>
    <w:rsid w:val="00C96BDD"/>
    <w:rsid w:val="00CA039C"/>
    <w:rsid w:val="00CA14B4"/>
    <w:rsid w:val="00CA419A"/>
    <w:rsid w:val="00CA6E4C"/>
    <w:rsid w:val="00CA7E57"/>
    <w:rsid w:val="00CB49FB"/>
    <w:rsid w:val="00CB5B25"/>
    <w:rsid w:val="00CC08B4"/>
    <w:rsid w:val="00CC0AE4"/>
    <w:rsid w:val="00CC314D"/>
    <w:rsid w:val="00CC6947"/>
    <w:rsid w:val="00CD3137"/>
    <w:rsid w:val="00CD3E01"/>
    <w:rsid w:val="00CD470D"/>
    <w:rsid w:val="00CE0DA0"/>
    <w:rsid w:val="00CE4B32"/>
    <w:rsid w:val="00CE4CFC"/>
    <w:rsid w:val="00CE51A9"/>
    <w:rsid w:val="00CE5CF8"/>
    <w:rsid w:val="00CE5E27"/>
    <w:rsid w:val="00CE6951"/>
    <w:rsid w:val="00CE6D71"/>
    <w:rsid w:val="00CF0002"/>
    <w:rsid w:val="00CF0022"/>
    <w:rsid w:val="00CF0380"/>
    <w:rsid w:val="00CF089F"/>
    <w:rsid w:val="00CF0D20"/>
    <w:rsid w:val="00CF0D8E"/>
    <w:rsid w:val="00CF25EC"/>
    <w:rsid w:val="00CF689F"/>
    <w:rsid w:val="00CF6919"/>
    <w:rsid w:val="00CF69CD"/>
    <w:rsid w:val="00CF7BD3"/>
    <w:rsid w:val="00D000C1"/>
    <w:rsid w:val="00D037ED"/>
    <w:rsid w:val="00D03AB0"/>
    <w:rsid w:val="00D03C22"/>
    <w:rsid w:val="00D05E0C"/>
    <w:rsid w:val="00D06A32"/>
    <w:rsid w:val="00D06C34"/>
    <w:rsid w:val="00D07218"/>
    <w:rsid w:val="00D106C4"/>
    <w:rsid w:val="00D10FEC"/>
    <w:rsid w:val="00D11EBA"/>
    <w:rsid w:val="00D14BBF"/>
    <w:rsid w:val="00D164CA"/>
    <w:rsid w:val="00D217B8"/>
    <w:rsid w:val="00D2247A"/>
    <w:rsid w:val="00D25AA2"/>
    <w:rsid w:val="00D26FE3"/>
    <w:rsid w:val="00D27CF7"/>
    <w:rsid w:val="00D323B6"/>
    <w:rsid w:val="00D332EF"/>
    <w:rsid w:val="00D3345E"/>
    <w:rsid w:val="00D3542A"/>
    <w:rsid w:val="00D355E7"/>
    <w:rsid w:val="00D36616"/>
    <w:rsid w:val="00D368D4"/>
    <w:rsid w:val="00D402CE"/>
    <w:rsid w:val="00D433CC"/>
    <w:rsid w:val="00D43D50"/>
    <w:rsid w:val="00D43FC7"/>
    <w:rsid w:val="00D44A4F"/>
    <w:rsid w:val="00D4525D"/>
    <w:rsid w:val="00D47090"/>
    <w:rsid w:val="00D51CC9"/>
    <w:rsid w:val="00D5521F"/>
    <w:rsid w:val="00D557F2"/>
    <w:rsid w:val="00D55959"/>
    <w:rsid w:val="00D569A1"/>
    <w:rsid w:val="00D574C9"/>
    <w:rsid w:val="00D57F8C"/>
    <w:rsid w:val="00D60A1A"/>
    <w:rsid w:val="00D62ACF"/>
    <w:rsid w:val="00D63ABB"/>
    <w:rsid w:val="00D65D8E"/>
    <w:rsid w:val="00D705ED"/>
    <w:rsid w:val="00D72E3D"/>
    <w:rsid w:val="00D7337D"/>
    <w:rsid w:val="00D73709"/>
    <w:rsid w:val="00D7431D"/>
    <w:rsid w:val="00D80877"/>
    <w:rsid w:val="00D80A5B"/>
    <w:rsid w:val="00D81998"/>
    <w:rsid w:val="00D8249D"/>
    <w:rsid w:val="00D829C2"/>
    <w:rsid w:val="00D83081"/>
    <w:rsid w:val="00D84502"/>
    <w:rsid w:val="00D84710"/>
    <w:rsid w:val="00D85921"/>
    <w:rsid w:val="00D85A04"/>
    <w:rsid w:val="00D927F6"/>
    <w:rsid w:val="00D9506B"/>
    <w:rsid w:val="00D95BC8"/>
    <w:rsid w:val="00DA04E3"/>
    <w:rsid w:val="00DA12F6"/>
    <w:rsid w:val="00DA1A60"/>
    <w:rsid w:val="00DA2081"/>
    <w:rsid w:val="00DA2F8A"/>
    <w:rsid w:val="00DA315D"/>
    <w:rsid w:val="00DA65E3"/>
    <w:rsid w:val="00DA725C"/>
    <w:rsid w:val="00DA7F1B"/>
    <w:rsid w:val="00DB0D32"/>
    <w:rsid w:val="00DB1CC8"/>
    <w:rsid w:val="00DB2A96"/>
    <w:rsid w:val="00DB3113"/>
    <w:rsid w:val="00DB3183"/>
    <w:rsid w:val="00DB45DF"/>
    <w:rsid w:val="00DB51F8"/>
    <w:rsid w:val="00DB611F"/>
    <w:rsid w:val="00DB6FB9"/>
    <w:rsid w:val="00DB7047"/>
    <w:rsid w:val="00DC174B"/>
    <w:rsid w:val="00DC1C70"/>
    <w:rsid w:val="00DC3D4F"/>
    <w:rsid w:val="00DC5DFC"/>
    <w:rsid w:val="00DC6D7C"/>
    <w:rsid w:val="00DC6FC2"/>
    <w:rsid w:val="00DC702A"/>
    <w:rsid w:val="00DD003D"/>
    <w:rsid w:val="00DD0C45"/>
    <w:rsid w:val="00DD1C1C"/>
    <w:rsid w:val="00DD22C3"/>
    <w:rsid w:val="00DD4932"/>
    <w:rsid w:val="00DD6378"/>
    <w:rsid w:val="00DE1555"/>
    <w:rsid w:val="00DE1C83"/>
    <w:rsid w:val="00DE2057"/>
    <w:rsid w:val="00DE24FE"/>
    <w:rsid w:val="00DE466D"/>
    <w:rsid w:val="00DE500D"/>
    <w:rsid w:val="00DE5DDD"/>
    <w:rsid w:val="00DE6E12"/>
    <w:rsid w:val="00DE6EA8"/>
    <w:rsid w:val="00DE7C93"/>
    <w:rsid w:val="00DF0621"/>
    <w:rsid w:val="00DF29CB"/>
    <w:rsid w:val="00DF3911"/>
    <w:rsid w:val="00DF3F75"/>
    <w:rsid w:val="00DF525F"/>
    <w:rsid w:val="00DF5553"/>
    <w:rsid w:val="00DF6A3A"/>
    <w:rsid w:val="00DF739D"/>
    <w:rsid w:val="00DF7A9F"/>
    <w:rsid w:val="00E0235F"/>
    <w:rsid w:val="00E03C34"/>
    <w:rsid w:val="00E052A6"/>
    <w:rsid w:val="00E06A57"/>
    <w:rsid w:val="00E06ED8"/>
    <w:rsid w:val="00E072DF"/>
    <w:rsid w:val="00E07607"/>
    <w:rsid w:val="00E07680"/>
    <w:rsid w:val="00E07AF3"/>
    <w:rsid w:val="00E07E66"/>
    <w:rsid w:val="00E110FB"/>
    <w:rsid w:val="00E116A1"/>
    <w:rsid w:val="00E12948"/>
    <w:rsid w:val="00E1478E"/>
    <w:rsid w:val="00E151A2"/>
    <w:rsid w:val="00E21E9D"/>
    <w:rsid w:val="00E25265"/>
    <w:rsid w:val="00E25A9C"/>
    <w:rsid w:val="00E25F02"/>
    <w:rsid w:val="00E27AFE"/>
    <w:rsid w:val="00E27C20"/>
    <w:rsid w:val="00E30B2C"/>
    <w:rsid w:val="00E3232E"/>
    <w:rsid w:val="00E34623"/>
    <w:rsid w:val="00E34C7C"/>
    <w:rsid w:val="00E35ECF"/>
    <w:rsid w:val="00E3618D"/>
    <w:rsid w:val="00E36E38"/>
    <w:rsid w:val="00E3738D"/>
    <w:rsid w:val="00E37A7C"/>
    <w:rsid w:val="00E40507"/>
    <w:rsid w:val="00E40C05"/>
    <w:rsid w:val="00E40D5B"/>
    <w:rsid w:val="00E4127A"/>
    <w:rsid w:val="00E4280F"/>
    <w:rsid w:val="00E42CF4"/>
    <w:rsid w:val="00E43734"/>
    <w:rsid w:val="00E43FF2"/>
    <w:rsid w:val="00E44133"/>
    <w:rsid w:val="00E45064"/>
    <w:rsid w:val="00E46711"/>
    <w:rsid w:val="00E4775E"/>
    <w:rsid w:val="00E518E3"/>
    <w:rsid w:val="00E519C2"/>
    <w:rsid w:val="00E5371B"/>
    <w:rsid w:val="00E55161"/>
    <w:rsid w:val="00E560F5"/>
    <w:rsid w:val="00E5622D"/>
    <w:rsid w:val="00E62781"/>
    <w:rsid w:val="00E62E73"/>
    <w:rsid w:val="00E63A28"/>
    <w:rsid w:val="00E63CDC"/>
    <w:rsid w:val="00E640D0"/>
    <w:rsid w:val="00E64573"/>
    <w:rsid w:val="00E71628"/>
    <w:rsid w:val="00E7327D"/>
    <w:rsid w:val="00E74118"/>
    <w:rsid w:val="00E75C34"/>
    <w:rsid w:val="00E828E1"/>
    <w:rsid w:val="00E83F50"/>
    <w:rsid w:val="00E840C6"/>
    <w:rsid w:val="00E84D54"/>
    <w:rsid w:val="00E86C6F"/>
    <w:rsid w:val="00E877F9"/>
    <w:rsid w:val="00E9007A"/>
    <w:rsid w:val="00E90865"/>
    <w:rsid w:val="00E91F78"/>
    <w:rsid w:val="00E93200"/>
    <w:rsid w:val="00EA03E1"/>
    <w:rsid w:val="00EA1961"/>
    <w:rsid w:val="00EA1FA3"/>
    <w:rsid w:val="00EA2595"/>
    <w:rsid w:val="00EA346D"/>
    <w:rsid w:val="00EB4546"/>
    <w:rsid w:val="00EB660A"/>
    <w:rsid w:val="00EB6AEE"/>
    <w:rsid w:val="00EC0306"/>
    <w:rsid w:val="00EC0362"/>
    <w:rsid w:val="00EC0C9F"/>
    <w:rsid w:val="00EC1017"/>
    <w:rsid w:val="00EC1430"/>
    <w:rsid w:val="00EC3132"/>
    <w:rsid w:val="00EC3C24"/>
    <w:rsid w:val="00EC43D4"/>
    <w:rsid w:val="00EC4846"/>
    <w:rsid w:val="00EC7100"/>
    <w:rsid w:val="00ED1376"/>
    <w:rsid w:val="00ED17CE"/>
    <w:rsid w:val="00ED342F"/>
    <w:rsid w:val="00ED3C2A"/>
    <w:rsid w:val="00ED3D05"/>
    <w:rsid w:val="00ED4863"/>
    <w:rsid w:val="00ED4A7A"/>
    <w:rsid w:val="00ED63CC"/>
    <w:rsid w:val="00ED65CD"/>
    <w:rsid w:val="00ED66F6"/>
    <w:rsid w:val="00ED7F0E"/>
    <w:rsid w:val="00EE07C7"/>
    <w:rsid w:val="00EE21F9"/>
    <w:rsid w:val="00EE2949"/>
    <w:rsid w:val="00EE297E"/>
    <w:rsid w:val="00EE3EB4"/>
    <w:rsid w:val="00EE7C5F"/>
    <w:rsid w:val="00EF0778"/>
    <w:rsid w:val="00EF144E"/>
    <w:rsid w:val="00EF1A3E"/>
    <w:rsid w:val="00EF4E2C"/>
    <w:rsid w:val="00EF5434"/>
    <w:rsid w:val="00EF58A5"/>
    <w:rsid w:val="00EF628E"/>
    <w:rsid w:val="00EF62CA"/>
    <w:rsid w:val="00EF6B05"/>
    <w:rsid w:val="00F01BD8"/>
    <w:rsid w:val="00F03B74"/>
    <w:rsid w:val="00F03E41"/>
    <w:rsid w:val="00F03E75"/>
    <w:rsid w:val="00F041FE"/>
    <w:rsid w:val="00F04CE8"/>
    <w:rsid w:val="00F06783"/>
    <w:rsid w:val="00F06C65"/>
    <w:rsid w:val="00F0701C"/>
    <w:rsid w:val="00F1046E"/>
    <w:rsid w:val="00F10EF4"/>
    <w:rsid w:val="00F11523"/>
    <w:rsid w:val="00F14B74"/>
    <w:rsid w:val="00F15708"/>
    <w:rsid w:val="00F1674B"/>
    <w:rsid w:val="00F21529"/>
    <w:rsid w:val="00F23192"/>
    <w:rsid w:val="00F24C7B"/>
    <w:rsid w:val="00F25E08"/>
    <w:rsid w:val="00F26235"/>
    <w:rsid w:val="00F26754"/>
    <w:rsid w:val="00F271F2"/>
    <w:rsid w:val="00F27ADB"/>
    <w:rsid w:val="00F30B4F"/>
    <w:rsid w:val="00F33130"/>
    <w:rsid w:val="00F33506"/>
    <w:rsid w:val="00F338AF"/>
    <w:rsid w:val="00F35FF0"/>
    <w:rsid w:val="00F376ED"/>
    <w:rsid w:val="00F3794F"/>
    <w:rsid w:val="00F4519F"/>
    <w:rsid w:val="00F45EAA"/>
    <w:rsid w:val="00F4774E"/>
    <w:rsid w:val="00F50173"/>
    <w:rsid w:val="00F50251"/>
    <w:rsid w:val="00F50512"/>
    <w:rsid w:val="00F50F16"/>
    <w:rsid w:val="00F54592"/>
    <w:rsid w:val="00F56097"/>
    <w:rsid w:val="00F607C4"/>
    <w:rsid w:val="00F6199A"/>
    <w:rsid w:val="00F644C6"/>
    <w:rsid w:val="00F656D6"/>
    <w:rsid w:val="00F674E3"/>
    <w:rsid w:val="00F7262F"/>
    <w:rsid w:val="00F807D4"/>
    <w:rsid w:val="00F819F3"/>
    <w:rsid w:val="00F824C8"/>
    <w:rsid w:val="00F83CEE"/>
    <w:rsid w:val="00F83F44"/>
    <w:rsid w:val="00F8402D"/>
    <w:rsid w:val="00F865BF"/>
    <w:rsid w:val="00F87A9B"/>
    <w:rsid w:val="00F87D61"/>
    <w:rsid w:val="00F92042"/>
    <w:rsid w:val="00F932F2"/>
    <w:rsid w:val="00F94932"/>
    <w:rsid w:val="00F95390"/>
    <w:rsid w:val="00F95F5D"/>
    <w:rsid w:val="00F96C5E"/>
    <w:rsid w:val="00F973D4"/>
    <w:rsid w:val="00F9741C"/>
    <w:rsid w:val="00FA0E73"/>
    <w:rsid w:val="00FA1185"/>
    <w:rsid w:val="00FA25A9"/>
    <w:rsid w:val="00FB1B35"/>
    <w:rsid w:val="00FB1C49"/>
    <w:rsid w:val="00FB1DD4"/>
    <w:rsid w:val="00FB37C8"/>
    <w:rsid w:val="00FB5C3F"/>
    <w:rsid w:val="00FC0BA6"/>
    <w:rsid w:val="00FC1B88"/>
    <w:rsid w:val="00FC28E3"/>
    <w:rsid w:val="00FC2B94"/>
    <w:rsid w:val="00FC32FB"/>
    <w:rsid w:val="00FC3AFB"/>
    <w:rsid w:val="00FC3D0C"/>
    <w:rsid w:val="00FC42B5"/>
    <w:rsid w:val="00FC4450"/>
    <w:rsid w:val="00FC4CB8"/>
    <w:rsid w:val="00FC5606"/>
    <w:rsid w:val="00FD08D9"/>
    <w:rsid w:val="00FD143B"/>
    <w:rsid w:val="00FD25A0"/>
    <w:rsid w:val="00FD3ABC"/>
    <w:rsid w:val="00FD46E5"/>
    <w:rsid w:val="00FD4EF5"/>
    <w:rsid w:val="00FD53F8"/>
    <w:rsid w:val="00FD7C9E"/>
    <w:rsid w:val="00FE2000"/>
    <w:rsid w:val="00FE31A8"/>
    <w:rsid w:val="00FE69F2"/>
    <w:rsid w:val="00FE6EB3"/>
    <w:rsid w:val="00FF00B9"/>
    <w:rsid w:val="00FF182D"/>
    <w:rsid w:val="00FF32AD"/>
    <w:rsid w:val="00FF33CF"/>
    <w:rsid w:val="00FF3AD3"/>
    <w:rsid w:val="00FF4127"/>
    <w:rsid w:val="00FF502C"/>
    <w:rsid w:val="00FF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1D3FF3"/>
  <w15:docId w15:val="{C25C359D-C119-4D5F-A432-F6356D11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rsid w:val="009D481C"/>
    <w:pPr>
      <w:ind w:left="1289" w:right="1289"/>
      <w:jc w:val="center"/>
      <w:outlineLvl w:val="0"/>
    </w:pPr>
    <w:rPr>
      <w:b/>
      <w:bCs/>
      <w:sz w:val="32"/>
      <w:szCs w:val="24"/>
    </w:rPr>
  </w:style>
  <w:style w:type="paragraph" w:styleId="Heading3">
    <w:name w:val="heading 3"/>
    <w:basedOn w:val="Normal"/>
    <w:next w:val="Normal"/>
    <w:link w:val="Heading3Char"/>
    <w:uiPriority w:val="9"/>
    <w:unhideWhenUsed/>
    <w:qFormat/>
    <w:rsid w:val="005E6C4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E6C4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H3 N,Bullet 1"/>
    <w:basedOn w:val="Normal"/>
    <w:link w:val="ListParagraphChar"/>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AB3928"/>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AB3928"/>
    <w:rPr>
      <w:sz w:val="20"/>
      <w:szCs w:val="20"/>
    </w:rPr>
  </w:style>
  <w:style w:type="character" w:styleId="FootnoteReference">
    <w:name w:val="footnote reference"/>
    <w:aliases w:val="Footnote Reference BSA-AML Manual,Footnote Reference-BSA-AML"/>
    <w:basedOn w:val="DefaultParagraphFont"/>
    <w:uiPriority w:val="99"/>
    <w:unhideWhenUsed/>
    <w:qFormat/>
    <w:rsid w:val="00AB3928"/>
    <w:rPr>
      <w:vertAlign w:val="superscript"/>
    </w:rPr>
  </w:style>
  <w:style w:type="paragraph" w:styleId="Header">
    <w:name w:val="header"/>
    <w:basedOn w:val="Normal"/>
    <w:link w:val="HeaderChar"/>
    <w:uiPriority w:val="99"/>
    <w:unhideWhenUsed/>
    <w:rsid w:val="000E295B"/>
    <w:pPr>
      <w:tabs>
        <w:tab w:val="center" w:pos="4680"/>
        <w:tab w:val="right" w:pos="9360"/>
      </w:tabs>
    </w:pPr>
  </w:style>
  <w:style w:type="character" w:customStyle="1" w:styleId="HeaderChar">
    <w:name w:val="Header Char"/>
    <w:basedOn w:val="DefaultParagraphFont"/>
    <w:link w:val="Header"/>
    <w:uiPriority w:val="99"/>
    <w:rsid w:val="000E295B"/>
    <w:rPr>
      <w:rFonts w:ascii="Times New Roman" w:eastAsia="Times New Roman" w:hAnsi="Times New Roman" w:cs="Times New Roman"/>
      <w:lang w:bidi="en-US"/>
    </w:rPr>
  </w:style>
  <w:style w:type="paragraph" w:styleId="Footer">
    <w:name w:val="footer"/>
    <w:basedOn w:val="Normal"/>
    <w:link w:val="FooterChar"/>
    <w:uiPriority w:val="99"/>
    <w:unhideWhenUsed/>
    <w:rsid w:val="000E295B"/>
    <w:pPr>
      <w:tabs>
        <w:tab w:val="center" w:pos="4680"/>
        <w:tab w:val="right" w:pos="9360"/>
      </w:tabs>
    </w:pPr>
  </w:style>
  <w:style w:type="character" w:customStyle="1" w:styleId="FooterChar">
    <w:name w:val="Footer Char"/>
    <w:basedOn w:val="DefaultParagraphFont"/>
    <w:link w:val="Footer"/>
    <w:uiPriority w:val="99"/>
    <w:rsid w:val="000E295B"/>
    <w:rPr>
      <w:rFonts w:ascii="Times New Roman" w:eastAsia="Times New Roman" w:hAnsi="Times New Roman" w:cs="Times New Roman"/>
      <w:lang w:bidi="en-US"/>
    </w:rPr>
  </w:style>
  <w:style w:type="character" w:styleId="CommentReference">
    <w:name w:val="annotation reference"/>
    <w:basedOn w:val="DefaultParagraphFont"/>
    <w:uiPriority w:val="99"/>
    <w:unhideWhenUsed/>
    <w:rsid w:val="0064713E"/>
    <w:rPr>
      <w:sz w:val="16"/>
      <w:szCs w:val="16"/>
    </w:rPr>
  </w:style>
  <w:style w:type="paragraph" w:styleId="CommentText">
    <w:name w:val="annotation text"/>
    <w:basedOn w:val="Normal"/>
    <w:link w:val="CommentTextChar"/>
    <w:uiPriority w:val="99"/>
    <w:unhideWhenUsed/>
    <w:rsid w:val="0064713E"/>
    <w:rPr>
      <w:sz w:val="20"/>
      <w:szCs w:val="20"/>
    </w:rPr>
  </w:style>
  <w:style w:type="character" w:customStyle="1" w:styleId="CommentTextChar">
    <w:name w:val="Comment Text Char"/>
    <w:basedOn w:val="DefaultParagraphFont"/>
    <w:link w:val="CommentText"/>
    <w:uiPriority w:val="99"/>
    <w:rsid w:val="0064713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4713E"/>
    <w:rPr>
      <w:b/>
      <w:bCs/>
    </w:rPr>
  </w:style>
  <w:style w:type="character" w:customStyle="1" w:styleId="CommentSubjectChar">
    <w:name w:val="Comment Subject Char"/>
    <w:basedOn w:val="CommentTextChar"/>
    <w:link w:val="CommentSubject"/>
    <w:uiPriority w:val="99"/>
    <w:semiHidden/>
    <w:rsid w:val="0064713E"/>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471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13E"/>
    <w:rPr>
      <w:rFonts w:ascii="Segoe UI" w:eastAsia="Times New Roman" w:hAnsi="Segoe UI" w:cs="Segoe UI"/>
      <w:sz w:val="18"/>
      <w:szCs w:val="18"/>
      <w:lang w:bidi="en-US"/>
    </w:rPr>
  </w:style>
  <w:style w:type="paragraph" w:styleId="NormalWeb">
    <w:name w:val="Normal (Web)"/>
    <w:basedOn w:val="Normal"/>
    <w:uiPriority w:val="99"/>
    <w:semiHidden/>
    <w:unhideWhenUsed/>
    <w:rsid w:val="00192CB6"/>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D0C45"/>
    <w:rPr>
      <w:color w:val="0000FF"/>
      <w:u w:val="single"/>
    </w:rPr>
  </w:style>
  <w:style w:type="paragraph" w:styleId="Revision">
    <w:name w:val="Revision"/>
    <w:hidden/>
    <w:uiPriority w:val="99"/>
    <w:semiHidden/>
    <w:rsid w:val="001645F1"/>
    <w:pPr>
      <w:widowControl/>
      <w:autoSpaceDE/>
      <w:autoSpaceDN/>
    </w:pPr>
    <w:rPr>
      <w:rFonts w:ascii="Times New Roman" w:eastAsia="Times New Roman" w:hAnsi="Times New Roman" w:cs="Times New Roman"/>
      <w:lang w:bidi="en-US"/>
    </w:rPr>
  </w:style>
  <w:style w:type="character" w:customStyle="1" w:styleId="noglossary">
    <w:name w:val="noglossary"/>
    <w:basedOn w:val="DefaultParagraphFont"/>
    <w:rsid w:val="00C95260"/>
  </w:style>
  <w:style w:type="character" w:customStyle="1" w:styleId="BodyTextChar">
    <w:name w:val="Body Text Char"/>
    <w:basedOn w:val="DefaultParagraphFont"/>
    <w:link w:val="BodyText"/>
    <w:uiPriority w:val="1"/>
    <w:rsid w:val="00C20F19"/>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uiPriority w:val="9"/>
    <w:rsid w:val="005E6C49"/>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5E6C49"/>
    <w:rPr>
      <w:rFonts w:asciiTheme="majorHAnsi" w:eastAsiaTheme="majorEastAsia" w:hAnsiTheme="majorHAnsi" w:cstheme="majorBidi"/>
      <w:i/>
      <w:iCs/>
      <w:color w:val="365F91" w:themeColor="accent1" w:themeShade="BF"/>
      <w:lang w:bidi="en-US"/>
    </w:rPr>
  </w:style>
  <w:style w:type="character" w:styleId="Strong">
    <w:name w:val="Strong"/>
    <w:basedOn w:val="DefaultParagraphFont"/>
    <w:uiPriority w:val="22"/>
    <w:qFormat/>
    <w:rsid w:val="005E6C49"/>
    <w:rPr>
      <w:b/>
      <w:bCs/>
    </w:rPr>
  </w:style>
  <w:style w:type="character" w:styleId="Emphasis">
    <w:name w:val="Emphasis"/>
    <w:basedOn w:val="DefaultParagraphFont"/>
    <w:uiPriority w:val="20"/>
    <w:qFormat/>
    <w:rsid w:val="005E6C49"/>
    <w:rPr>
      <w:i/>
      <w:iCs/>
    </w:rPr>
  </w:style>
  <w:style w:type="paragraph" w:customStyle="1" w:styleId="Default">
    <w:name w:val="Default"/>
    <w:rsid w:val="00766A85"/>
    <w:pPr>
      <w:widowControl/>
      <w:adjustRightInd w:val="0"/>
    </w:pPr>
    <w:rPr>
      <w:rFonts w:ascii="Times New Roman" w:hAnsi="Times New Roman" w:cs="Times New Roman"/>
      <w:color w:val="000000"/>
      <w:sz w:val="24"/>
      <w:szCs w:val="24"/>
    </w:rPr>
  </w:style>
  <w:style w:type="character" w:customStyle="1" w:styleId="tooltiptext1">
    <w:name w:val="tooltiptext1"/>
    <w:basedOn w:val="DefaultParagraphFont"/>
    <w:rsid w:val="000B3631"/>
    <w:rPr>
      <w:vanish/>
      <w:webHidden w:val="0"/>
      <w:specVanish w:val="0"/>
    </w:rPr>
  </w:style>
  <w:style w:type="character" w:customStyle="1" w:styleId="null1">
    <w:name w:val="null1"/>
    <w:basedOn w:val="DefaultParagraphFont"/>
    <w:rsid w:val="000B3631"/>
  </w:style>
  <w:style w:type="character" w:customStyle="1" w:styleId="ListParagraphChar">
    <w:name w:val="List Paragraph Char"/>
    <w:aliases w:val="H3 N Char,Bullet 1 Char"/>
    <w:basedOn w:val="DefaultParagraphFont"/>
    <w:link w:val="ListParagraph"/>
    <w:uiPriority w:val="1"/>
    <w:locked/>
    <w:rsid w:val="006B4E9B"/>
    <w:rPr>
      <w:rFonts w:ascii="Times New Roman" w:eastAsia="Times New Roman" w:hAnsi="Times New Roman" w:cs="Times New Roman"/>
      <w:lang w:bidi="en-US"/>
    </w:rPr>
  </w:style>
  <w:style w:type="paragraph" w:styleId="HTMLPreformatted">
    <w:name w:val="HTML Preformatted"/>
    <w:basedOn w:val="Normal"/>
    <w:link w:val="HTMLPreformattedChar"/>
    <w:uiPriority w:val="99"/>
    <w:unhideWhenUsed/>
    <w:rsid w:val="00277D52"/>
    <w:pPr>
      <w:widowControl/>
      <w:autoSpaceDE/>
      <w:autoSpaceDN/>
    </w:pPr>
    <w:rPr>
      <w:rFonts w:ascii="Consolas" w:eastAsiaTheme="minorHAnsi" w:hAnsi="Consolas" w:cstheme="minorBidi"/>
      <w:sz w:val="20"/>
      <w:szCs w:val="20"/>
      <w:lang w:bidi="ar-SA"/>
    </w:rPr>
  </w:style>
  <w:style w:type="character" w:customStyle="1" w:styleId="HTMLPreformattedChar">
    <w:name w:val="HTML Preformatted Char"/>
    <w:basedOn w:val="DefaultParagraphFont"/>
    <w:link w:val="HTMLPreformatted"/>
    <w:uiPriority w:val="99"/>
    <w:rsid w:val="00277D52"/>
    <w:rPr>
      <w:rFonts w:ascii="Consolas" w:hAnsi="Consolas"/>
      <w:sz w:val="20"/>
      <w:szCs w:val="20"/>
    </w:rPr>
  </w:style>
  <w:style w:type="character" w:styleId="FollowedHyperlink">
    <w:name w:val="FollowedHyperlink"/>
    <w:basedOn w:val="DefaultParagraphFont"/>
    <w:uiPriority w:val="99"/>
    <w:semiHidden/>
    <w:unhideWhenUsed/>
    <w:rsid w:val="00145FF6"/>
    <w:rPr>
      <w:color w:val="800080" w:themeColor="followedHyperlink"/>
      <w:u w:val="single"/>
    </w:rPr>
  </w:style>
  <w:style w:type="character" w:styleId="LineNumber">
    <w:name w:val="line number"/>
    <w:basedOn w:val="DefaultParagraphFont"/>
    <w:uiPriority w:val="99"/>
    <w:semiHidden/>
    <w:unhideWhenUsed/>
    <w:rsid w:val="007F2DC3"/>
  </w:style>
  <w:style w:type="paragraph" w:styleId="EndnoteText">
    <w:name w:val="endnote text"/>
    <w:basedOn w:val="Normal"/>
    <w:link w:val="EndnoteTextChar"/>
    <w:uiPriority w:val="99"/>
    <w:semiHidden/>
    <w:unhideWhenUsed/>
    <w:rsid w:val="00340DF4"/>
    <w:rPr>
      <w:sz w:val="20"/>
      <w:szCs w:val="20"/>
    </w:rPr>
  </w:style>
  <w:style w:type="character" w:customStyle="1" w:styleId="EndnoteTextChar">
    <w:name w:val="Endnote Text Char"/>
    <w:basedOn w:val="DefaultParagraphFont"/>
    <w:link w:val="EndnoteText"/>
    <w:uiPriority w:val="99"/>
    <w:semiHidden/>
    <w:rsid w:val="00340DF4"/>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340DF4"/>
    <w:rPr>
      <w:vertAlign w:val="superscript"/>
    </w:rPr>
  </w:style>
  <w:style w:type="character" w:customStyle="1" w:styleId="UnresolvedMention1">
    <w:name w:val="Unresolved Mention1"/>
    <w:basedOn w:val="DefaultParagraphFont"/>
    <w:uiPriority w:val="99"/>
    <w:semiHidden/>
    <w:unhideWhenUsed/>
    <w:rsid w:val="00A20161"/>
    <w:rPr>
      <w:color w:val="605E5C"/>
      <w:shd w:val="clear" w:color="auto" w:fill="E1DFDD"/>
    </w:rPr>
  </w:style>
  <w:style w:type="paragraph" w:customStyle="1" w:styleId="Header-BSA-AML">
    <w:name w:val="Header-BSA-AML"/>
    <w:basedOn w:val="Normal"/>
    <w:rsid w:val="009A7F59"/>
    <w:pPr>
      <w:widowControl/>
      <w:pBdr>
        <w:bottom w:val="single" w:sz="2" w:space="1" w:color="auto"/>
      </w:pBdr>
      <w:autoSpaceDE/>
      <w:autoSpaceDN/>
      <w:spacing w:after="200"/>
      <w:jc w:val="right"/>
    </w:pPr>
    <w:rPr>
      <w:sz w:val="20"/>
      <w:szCs w:val="20"/>
      <w:lang w:bidi="ar-SA"/>
    </w:rPr>
  </w:style>
  <w:style w:type="character" w:styleId="PageNumber">
    <w:name w:val="page number"/>
    <w:basedOn w:val="DefaultParagraphFont"/>
    <w:rsid w:val="009A7F59"/>
  </w:style>
  <w:style w:type="paragraph" w:customStyle="1" w:styleId="FooterBSA-AML">
    <w:name w:val="FooterBSA-AML"/>
    <w:basedOn w:val="Footer"/>
    <w:link w:val="FooterBSA-AMLChar"/>
    <w:rsid w:val="009A7F59"/>
    <w:pPr>
      <w:widowControl/>
      <w:pBdr>
        <w:top w:val="single" w:sz="2" w:space="1" w:color="auto"/>
      </w:pBdr>
      <w:tabs>
        <w:tab w:val="clear" w:pos="4680"/>
        <w:tab w:val="clear" w:pos="9360"/>
        <w:tab w:val="center" w:pos="4320"/>
        <w:tab w:val="right" w:pos="8640"/>
      </w:tabs>
      <w:autoSpaceDE/>
      <w:autoSpaceDN/>
      <w:spacing w:before="200" w:after="200"/>
    </w:pPr>
    <w:rPr>
      <w:sz w:val="20"/>
      <w:szCs w:val="24"/>
    </w:rPr>
  </w:style>
  <w:style w:type="character" w:customStyle="1" w:styleId="FooterBSA-AMLChar">
    <w:name w:val="FooterBSA-AML Char"/>
    <w:basedOn w:val="FooterChar"/>
    <w:link w:val="FooterBSA-AML"/>
    <w:rsid w:val="009A7F59"/>
    <w:rPr>
      <w:rFonts w:ascii="Times New Roman" w:eastAsia="Times New Roman" w:hAnsi="Times New Roman" w:cs="Times New Roman"/>
      <w:sz w:val="20"/>
      <w:szCs w:val="24"/>
      <w:lang w:bidi="en-US"/>
    </w:rPr>
  </w:style>
  <w:style w:type="paragraph" w:customStyle="1" w:styleId="Body-BSA-AML">
    <w:name w:val="Body-BSA-AML"/>
    <w:link w:val="Body-BSA-AMLChar"/>
    <w:rsid w:val="00E07E66"/>
    <w:pPr>
      <w:widowControl/>
      <w:autoSpaceDE/>
      <w:autoSpaceDN/>
      <w:spacing w:after="200"/>
    </w:pPr>
    <w:rPr>
      <w:rFonts w:ascii="Times New Roman" w:eastAsia="Times New Roman" w:hAnsi="Times New Roman" w:cs="Times New Roman"/>
      <w:sz w:val="24"/>
      <w:szCs w:val="20"/>
    </w:rPr>
  </w:style>
  <w:style w:type="character" w:customStyle="1" w:styleId="Body-BSA-AMLChar">
    <w:name w:val="Body-BSA-AML Char"/>
    <w:basedOn w:val="DefaultParagraphFont"/>
    <w:link w:val="Body-BSA-AML"/>
    <w:rsid w:val="00E07E66"/>
    <w:rPr>
      <w:rFonts w:ascii="Times New Roman" w:eastAsia="Times New Roman" w:hAnsi="Times New Roman" w:cs="Times New Roman"/>
      <w:sz w:val="24"/>
      <w:szCs w:val="20"/>
    </w:rPr>
  </w:style>
  <w:style w:type="character" w:customStyle="1" w:styleId="Head7-BSA-AMLCharChar">
    <w:name w:val="Head 7-BSA-AML Char Char"/>
    <w:basedOn w:val="DefaultParagraphFont"/>
    <w:rsid w:val="00E07E66"/>
    <w:rPr>
      <w:b/>
      <w:sz w:val="24"/>
      <w:szCs w:val="24"/>
      <w:lang w:val="en-US" w:eastAsia="en-US" w:bidi="ar-SA"/>
    </w:rPr>
  </w:style>
  <w:style w:type="character" w:customStyle="1" w:styleId="UnresolvedMention2">
    <w:name w:val="Unresolved Mention2"/>
    <w:basedOn w:val="DefaultParagraphFont"/>
    <w:uiPriority w:val="99"/>
    <w:semiHidden/>
    <w:unhideWhenUsed/>
    <w:rsid w:val="00534C80"/>
    <w:rPr>
      <w:color w:val="605E5C"/>
      <w:shd w:val="clear" w:color="auto" w:fill="E1DFDD"/>
    </w:rPr>
  </w:style>
  <w:style w:type="paragraph" w:customStyle="1" w:styleId="xmsonormal">
    <w:name w:val="x_msonormal"/>
    <w:basedOn w:val="Normal"/>
    <w:rsid w:val="00646A92"/>
    <w:pPr>
      <w:widowControl/>
      <w:autoSpaceDE/>
      <w:autoSpaceDN/>
    </w:pPr>
    <w:rPr>
      <w:rFonts w:ascii="Calibri" w:eastAsiaTheme="minorHAnsi" w:hAnsi="Calibri" w:cs="Calibri"/>
      <w:sz w:val="20"/>
      <w:szCs w:val="20"/>
      <w:lang w:bidi="ar-SA"/>
    </w:rPr>
  </w:style>
  <w:style w:type="character" w:customStyle="1" w:styleId="UnresolvedMention3">
    <w:name w:val="Unresolved Mention3"/>
    <w:basedOn w:val="DefaultParagraphFont"/>
    <w:uiPriority w:val="99"/>
    <w:semiHidden/>
    <w:unhideWhenUsed/>
    <w:rsid w:val="0025426F"/>
    <w:rPr>
      <w:color w:val="605E5C"/>
      <w:shd w:val="clear" w:color="auto" w:fill="E1DFDD"/>
    </w:rPr>
  </w:style>
  <w:style w:type="character" w:customStyle="1" w:styleId="UnresolvedMention4">
    <w:name w:val="Unresolved Mention4"/>
    <w:basedOn w:val="DefaultParagraphFont"/>
    <w:uiPriority w:val="99"/>
    <w:semiHidden/>
    <w:unhideWhenUsed/>
    <w:rsid w:val="00566DDF"/>
    <w:rPr>
      <w:color w:val="605E5C"/>
      <w:shd w:val="clear" w:color="auto" w:fill="E1DFDD"/>
    </w:rPr>
  </w:style>
  <w:style w:type="character" w:customStyle="1" w:styleId="UnresolvedMention5">
    <w:name w:val="Unresolved Mention5"/>
    <w:basedOn w:val="DefaultParagraphFont"/>
    <w:uiPriority w:val="99"/>
    <w:semiHidden/>
    <w:unhideWhenUsed/>
    <w:rsid w:val="00F03E75"/>
    <w:rPr>
      <w:color w:val="605E5C"/>
      <w:shd w:val="clear" w:color="auto" w:fill="E1DFDD"/>
    </w:rPr>
  </w:style>
  <w:style w:type="character" w:customStyle="1" w:styleId="UnresolvedMention6">
    <w:name w:val="Unresolved Mention6"/>
    <w:basedOn w:val="DefaultParagraphFont"/>
    <w:uiPriority w:val="99"/>
    <w:semiHidden/>
    <w:unhideWhenUsed/>
    <w:rsid w:val="004F4117"/>
    <w:rPr>
      <w:color w:val="605E5C"/>
      <w:shd w:val="clear" w:color="auto" w:fill="E1DFDD"/>
    </w:rPr>
  </w:style>
  <w:style w:type="character" w:customStyle="1" w:styleId="UnresolvedMention60">
    <w:name w:val="Unresolved Mention6"/>
    <w:basedOn w:val="DefaultParagraphFont"/>
    <w:uiPriority w:val="99"/>
    <w:semiHidden/>
    <w:unhideWhenUsed/>
    <w:rsid w:val="005D39FB"/>
    <w:rPr>
      <w:color w:val="605E5C"/>
      <w:shd w:val="clear" w:color="auto" w:fill="E1DFDD"/>
    </w:rPr>
  </w:style>
  <w:style w:type="table" w:styleId="TableGrid">
    <w:name w:val="Table Grid"/>
    <w:basedOn w:val="TableNormal"/>
    <w:uiPriority w:val="39"/>
    <w:rsid w:val="00A6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2ndlevel-BSA-AML">
    <w:name w:val="Bullet list 2nd level-BSA-AML"/>
    <w:basedOn w:val="ListBullet"/>
    <w:next w:val="Normal"/>
    <w:link w:val="Bulletlist2ndlevel-BSA-AMLChar"/>
    <w:rsid w:val="009A453B"/>
    <w:pPr>
      <w:widowControl/>
      <w:numPr>
        <w:numId w:val="0"/>
      </w:numPr>
      <w:tabs>
        <w:tab w:val="left" w:pos="360"/>
      </w:tabs>
      <w:autoSpaceDE/>
      <w:autoSpaceDN/>
      <w:spacing w:after="140"/>
      <w:contextualSpacing w:val="0"/>
    </w:pPr>
    <w:rPr>
      <w:sz w:val="24"/>
      <w:szCs w:val="20"/>
      <w:lang w:bidi="ar-SA"/>
    </w:rPr>
  </w:style>
  <w:style w:type="character" w:customStyle="1" w:styleId="Bulletlist2ndlevel-BSA-AMLChar">
    <w:name w:val="Bullet list 2nd level-BSA-AML Char"/>
    <w:basedOn w:val="DefaultParagraphFont"/>
    <w:link w:val="Bulletlist2ndlevel-BSA-AML"/>
    <w:rsid w:val="009A453B"/>
    <w:rPr>
      <w:rFonts w:ascii="Times New Roman" w:eastAsia="Times New Roman" w:hAnsi="Times New Roman" w:cs="Times New Roman"/>
      <w:sz w:val="24"/>
      <w:szCs w:val="20"/>
    </w:rPr>
  </w:style>
  <w:style w:type="paragraph" w:customStyle="1" w:styleId="Numberedlist-BSA-AML">
    <w:name w:val="Numbered list-BSA-AML"/>
    <w:basedOn w:val="Normal"/>
    <w:next w:val="Normal"/>
    <w:rsid w:val="009A453B"/>
    <w:pPr>
      <w:widowControl/>
      <w:autoSpaceDE/>
      <w:autoSpaceDN/>
      <w:spacing w:after="120"/>
      <w:ind w:left="360" w:hanging="360"/>
    </w:pPr>
    <w:rPr>
      <w:sz w:val="24"/>
      <w:szCs w:val="24"/>
      <w:lang w:bidi="ar-SA"/>
    </w:rPr>
  </w:style>
  <w:style w:type="paragraph" w:styleId="ListBullet">
    <w:name w:val="List Bullet"/>
    <w:basedOn w:val="Normal"/>
    <w:uiPriority w:val="99"/>
    <w:semiHidden/>
    <w:unhideWhenUsed/>
    <w:rsid w:val="009A453B"/>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90635">
      <w:bodyDiv w:val="1"/>
      <w:marLeft w:val="0"/>
      <w:marRight w:val="0"/>
      <w:marTop w:val="0"/>
      <w:marBottom w:val="0"/>
      <w:divBdr>
        <w:top w:val="none" w:sz="0" w:space="0" w:color="auto"/>
        <w:left w:val="none" w:sz="0" w:space="0" w:color="auto"/>
        <w:bottom w:val="none" w:sz="0" w:space="0" w:color="auto"/>
        <w:right w:val="none" w:sz="0" w:space="0" w:color="auto"/>
      </w:divBdr>
    </w:div>
    <w:div w:id="390078676">
      <w:bodyDiv w:val="1"/>
      <w:marLeft w:val="0"/>
      <w:marRight w:val="0"/>
      <w:marTop w:val="0"/>
      <w:marBottom w:val="0"/>
      <w:divBdr>
        <w:top w:val="none" w:sz="0" w:space="0" w:color="auto"/>
        <w:left w:val="none" w:sz="0" w:space="0" w:color="auto"/>
        <w:bottom w:val="none" w:sz="0" w:space="0" w:color="auto"/>
        <w:right w:val="none" w:sz="0" w:space="0" w:color="auto"/>
      </w:divBdr>
    </w:div>
    <w:div w:id="433135807">
      <w:bodyDiv w:val="1"/>
      <w:marLeft w:val="0"/>
      <w:marRight w:val="0"/>
      <w:marTop w:val="0"/>
      <w:marBottom w:val="0"/>
      <w:divBdr>
        <w:top w:val="none" w:sz="0" w:space="0" w:color="auto"/>
        <w:left w:val="none" w:sz="0" w:space="0" w:color="auto"/>
        <w:bottom w:val="none" w:sz="0" w:space="0" w:color="auto"/>
        <w:right w:val="none" w:sz="0" w:space="0" w:color="auto"/>
      </w:divBdr>
    </w:div>
    <w:div w:id="529950610">
      <w:bodyDiv w:val="1"/>
      <w:marLeft w:val="0"/>
      <w:marRight w:val="0"/>
      <w:marTop w:val="0"/>
      <w:marBottom w:val="0"/>
      <w:divBdr>
        <w:top w:val="none" w:sz="0" w:space="0" w:color="auto"/>
        <w:left w:val="none" w:sz="0" w:space="0" w:color="auto"/>
        <w:bottom w:val="none" w:sz="0" w:space="0" w:color="auto"/>
        <w:right w:val="none" w:sz="0" w:space="0" w:color="auto"/>
      </w:divBdr>
    </w:div>
    <w:div w:id="769351947">
      <w:bodyDiv w:val="1"/>
      <w:marLeft w:val="0"/>
      <w:marRight w:val="0"/>
      <w:marTop w:val="0"/>
      <w:marBottom w:val="0"/>
      <w:divBdr>
        <w:top w:val="none" w:sz="0" w:space="0" w:color="auto"/>
        <w:left w:val="none" w:sz="0" w:space="0" w:color="auto"/>
        <w:bottom w:val="none" w:sz="0" w:space="0" w:color="auto"/>
        <w:right w:val="none" w:sz="0" w:space="0" w:color="auto"/>
      </w:divBdr>
    </w:div>
    <w:div w:id="813529405">
      <w:bodyDiv w:val="1"/>
      <w:marLeft w:val="0"/>
      <w:marRight w:val="0"/>
      <w:marTop w:val="0"/>
      <w:marBottom w:val="0"/>
      <w:divBdr>
        <w:top w:val="none" w:sz="0" w:space="0" w:color="auto"/>
        <w:left w:val="none" w:sz="0" w:space="0" w:color="auto"/>
        <w:bottom w:val="none" w:sz="0" w:space="0" w:color="auto"/>
        <w:right w:val="none" w:sz="0" w:space="0" w:color="auto"/>
      </w:divBdr>
    </w:div>
    <w:div w:id="841433798">
      <w:bodyDiv w:val="1"/>
      <w:marLeft w:val="0"/>
      <w:marRight w:val="0"/>
      <w:marTop w:val="0"/>
      <w:marBottom w:val="0"/>
      <w:divBdr>
        <w:top w:val="none" w:sz="0" w:space="0" w:color="auto"/>
        <w:left w:val="none" w:sz="0" w:space="0" w:color="auto"/>
        <w:bottom w:val="none" w:sz="0" w:space="0" w:color="auto"/>
        <w:right w:val="none" w:sz="0" w:space="0" w:color="auto"/>
      </w:divBdr>
    </w:div>
    <w:div w:id="891884039">
      <w:bodyDiv w:val="1"/>
      <w:marLeft w:val="0"/>
      <w:marRight w:val="0"/>
      <w:marTop w:val="0"/>
      <w:marBottom w:val="0"/>
      <w:divBdr>
        <w:top w:val="none" w:sz="0" w:space="0" w:color="auto"/>
        <w:left w:val="none" w:sz="0" w:space="0" w:color="auto"/>
        <w:bottom w:val="none" w:sz="0" w:space="0" w:color="auto"/>
        <w:right w:val="none" w:sz="0" w:space="0" w:color="auto"/>
      </w:divBdr>
    </w:div>
    <w:div w:id="897128591">
      <w:bodyDiv w:val="1"/>
      <w:marLeft w:val="0"/>
      <w:marRight w:val="0"/>
      <w:marTop w:val="0"/>
      <w:marBottom w:val="0"/>
      <w:divBdr>
        <w:top w:val="none" w:sz="0" w:space="0" w:color="auto"/>
        <w:left w:val="none" w:sz="0" w:space="0" w:color="auto"/>
        <w:bottom w:val="none" w:sz="0" w:space="0" w:color="auto"/>
        <w:right w:val="none" w:sz="0" w:space="0" w:color="auto"/>
      </w:divBdr>
    </w:div>
    <w:div w:id="923490421">
      <w:bodyDiv w:val="1"/>
      <w:marLeft w:val="0"/>
      <w:marRight w:val="0"/>
      <w:marTop w:val="0"/>
      <w:marBottom w:val="0"/>
      <w:divBdr>
        <w:top w:val="none" w:sz="0" w:space="0" w:color="auto"/>
        <w:left w:val="none" w:sz="0" w:space="0" w:color="auto"/>
        <w:bottom w:val="none" w:sz="0" w:space="0" w:color="auto"/>
        <w:right w:val="none" w:sz="0" w:space="0" w:color="auto"/>
      </w:divBdr>
    </w:div>
    <w:div w:id="1018197232">
      <w:bodyDiv w:val="1"/>
      <w:marLeft w:val="0"/>
      <w:marRight w:val="0"/>
      <w:marTop w:val="0"/>
      <w:marBottom w:val="0"/>
      <w:divBdr>
        <w:top w:val="none" w:sz="0" w:space="0" w:color="auto"/>
        <w:left w:val="none" w:sz="0" w:space="0" w:color="auto"/>
        <w:bottom w:val="none" w:sz="0" w:space="0" w:color="auto"/>
        <w:right w:val="none" w:sz="0" w:space="0" w:color="auto"/>
      </w:divBdr>
    </w:div>
    <w:div w:id="1044603313">
      <w:bodyDiv w:val="1"/>
      <w:marLeft w:val="0"/>
      <w:marRight w:val="0"/>
      <w:marTop w:val="0"/>
      <w:marBottom w:val="0"/>
      <w:divBdr>
        <w:top w:val="none" w:sz="0" w:space="0" w:color="auto"/>
        <w:left w:val="none" w:sz="0" w:space="0" w:color="auto"/>
        <w:bottom w:val="none" w:sz="0" w:space="0" w:color="auto"/>
        <w:right w:val="none" w:sz="0" w:space="0" w:color="auto"/>
      </w:divBdr>
    </w:div>
    <w:div w:id="1065491964">
      <w:bodyDiv w:val="1"/>
      <w:marLeft w:val="0"/>
      <w:marRight w:val="0"/>
      <w:marTop w:val="0"/>
      <w:marBottom w:val="0"/>
      <w:divBdr>
        <w:top w:val="none" w:sz="0" w:space="0" w:color="auto"/>
        <w:left w:val="none" w:sz="0" w:space="0" w:color="auto"/>
        <w:bottom w:val="none" w:sz="0" w:space="0" w:color="auto"/>
        <w:right w:val="none" w:sz="0" w:space="0" w:color="auto"/>
      </w:divBdr>
    </w:div>
    <w:div w:id="1074357207">
      <w:bodyDiv w:val="1"/>
      <w:marLeft w:val="0"/>
      <w:marRight w:val="0"/>
      <w:marTop w:val="0"/>
      <w:marBottom w:val="0"/>
      <w:divBdr>
        <w:top w:val="none" w:sz="0" w:space="0" w:color="auto"/>
        <w:left w:val="none" w:sz="0" w:space="0" w:color="auto"/>
        <w:bottom w:val="none" w:sz="0" w:space="0" w:color="auto"/>
        <w:right w:val="none" w:sz="0" w:space="0" w:color="auto"/>
      </w:divBdr>
    </w:div>
    <w:div w:id="1163082465">
      <w:bodyDiv w:val="1"/>
      <w:marLeft w:val="0"/>
      <w:marRight w:val="0"/>
      <w:marTop w:val="0"/>
      <w:marBottom w:val="0"/>
      <w:divBdr>
        <w:top w:val="none" w:sz="0" w:space="0" w:color="auto"/>
        <w:left w:val="none" w:sz="0" w:space="0" w:color="auto"/>
        <w:bottom w:val="none" w:sz="0" w:space="0" w:color="auto"/>
        <w:right w:val="none" w:sz="0" w:space="0" w:color="auto"/>
      </w:divBdr>
    </w:div>
    <w:div w:id="1188326382">
      <w:bodyDiv w:val="1"/>
      <w:marLeft w:val="0"/>
      <w:marRight w:val="0"/>
      <w:marTop w:val="0"/>
      <w:marBottom w:val="0"/>
      <w:divBdr>
        <w:top w:val="none" w:sz="0" w:space="0" w:color="auto"/>
        <w:left w:val="none" w:sz="0" w:space="0" w:color="auto"/>
        <w:bottom w:val="none" w:sz="0" w:space="0" w:color="auto"/>
        <w:right w:val="none" w:sz="0" w:space="0" w:color="auto"/>
      </w:divBdr>
    </w:div>
    <w:div w:id="1220558567">
      <w:bodyDiv w:val="1"/>
      <w:marLeft w:val="0"/>
      <w:marRight w:val="0"/>
      <w:marTop w:val="0"/>
      <w:marBottom w:val="0"/>
      <w:divBdr>
        <w:top w:val="none" w:sz="0" w:space="0" w:color="auto"/>
        <w:left w:val="none" w:sz="0" w:space="0" w:color="auto"/>
        <w:bottom w:val="none" w:sz="0" w:space="0" w:color="auto"/>
        <w:right w:val="none" w:sz="0" w:space="0" w:color="auto"/>
      </w:divBdr>
    </w:div>
    <w:div w:id="1298148503">
      <w:bodyDiv w:val="1"/>
      <w:marLeft w:val="0"/>
      <w:marRight w:val="0"/>
      <w:marTop w:val="0"/>
      <w:marBottom w:val="0"/>
      <w:divBdr>
        <w:top w:val="none" w:sz="0" w:space="0" w:color="auto"/>
        <w:left w:val="none" w:sz="0" w:space="0" w:color="auto"/>
        <w:bottom w:val="none" w:sz="0" w:space="0" w:color="auto"/>
        <w:right w:val="none" w:sz="0" w:space="0" w:color="auto"/>
      </w:divBdr>
    </w:div>
    <w:div w:id="1363481907">
      <w:bodyDiv w:val="1"/>
      <w:marLeft w:val="0"/>
      <w:marRight w:val="0"/>
      <w:marTop w:val="0"/>
      <w:marBottom w:val="0"/>
      <w:divBdr>
        <w:top w:val="none" w:sz="0" w:space="0" w:color="auto"/>
        <w:left w:val="none" w:sz="0" w:space="0" w:color="auto"/>
        <w:bottom w:val="none" w:sz="0" w:space="0" w:color="auto"/>
        <w:right w:val="none" w:sz="0" w:space="0" w:color="auto"/>
      </w:divBdr>
    </w:div>
    <w:div w:id="1406759710">
      <w:bodyDiv w:val="1"/>
      <w:marLeft w:val="0"/>
      <w:marRight w:val="0"/>
      <w:marTop w:val="0"/>
      <w:marBottom w:val="0"/>
      <w:divBdr>
        <w:top w:val="none" w:sz="0" w:space="0" w:color="auto"/>
        <w:left w:val="none" w:sz="0" w:space="0" w:color="auto"/>
        <w:bottom w:val="none" w:sz="0" w:space="0" w:color="auto"/>
        <w:right w:val="none" w:sz="0" w:space="0" w:color="auto"/>
      </w:divBdr>
    </w:div>
    <w:div w:id="1433280493">
      <w:bodyDiv w:val="1"/>
      <w:marLeft w:val="0"/>
      <w:marRight w:val="0"/>
      <w:marTop w:val="0"/>
      <w:marBottom w:val="0"/>
      <w:divBdr>
        <w:top w:val="none" w:sz="0" w:space="0" w:color="auto"/>
        <w:left w:val="none" w:sz="0" w:space="0" w:color="auto"/>
        <w:bottom w:val="none" w:sz="0" w:space="0" w:color="auto"/>
        <w:right w:val="none" w:sz="0" w:space="0" w:color="auto"/>
      </w:divBdr>
    </w:div>
    <w:div w:id="1560821360">
      <w:bodyDiv w:val="1"/>
      <w:marLeft w:val="0"/>
      <w:marRight w:val="0"/>
      <w:marTop w:val="0"/>
      <w:marBottom w:val="0"/>
      <w:divBdr>
        <w:top w:val="none" w:sz="0" w:space="0" w:color="auto"/>
        <w:left w:val="none" w:sz="0" w:space="0" w:color="auto"/>
        <w:bottom w:val="none" w:sz="0" w:space="0" w:color="auto"/>
        <w:right w:val="none" w:sz="0" w:space="0" w:color="auto"/>
      </w:divBdr>
    </w:div>
    <w:div w:id="1777485194">
      <w:bodyDiv w:val="1"/>
      <w:marLeft w:val="0"/>
      <w:marRight w:val="0"/>
      <w:marTop w:val="0"/>
      <w:marBottom w:val="0"/>
      <w:divBdr>
        <w:top w:val="none" w:sz="0" w:space="0" w:color="auto"/>
        <w:left w:val="none" w:sz="0" w:space="0" w:color="auto"/>
        <w:bottom w:val="none" w:sz="0" w:space="0" w:color="auto"/>
        <w:right w:val="none" w:sz="0" w:space="0" w:color="auto"/>
      </w:divBdr>
    </w:div>
    <w:div w:id="1811049222">
      <w:bodyDiv w:val="1"/>
      <w:marLeft w:val="0"/>
      <w:marRight w:val="0"/>
      <w:marTop w:val="0"/>
      <w:marBottom w:val="0"/>
      <w:divBdr>
        <w:top w:val="none" w:sz="0" w:space="0" w:color="auto"/>
        <w:left w:val="none" w:sz="0" w:space="0" w:color="auto"/>
        <w:bottom w:val="none" w:sz="0" w:space="0" w:color="auto"/>
        <w:right w:val="none" w:sz="0" w:space="0" w:color="auto"/>
      </w:divBdr>
    </w:div>
    <w:div w:id="1817718787">
      <w:bodyDiv w:val="1"/>
      <w:marLeft w:val="0"/>
      <w:marRight w:val="0"/>
      <w:marTop w:val="0"/>
      <w:marBottom w:val="0"/>
      <w:divBdr>
        <w:top w:val="none" w:sz="0" w:space="0" w:color="auto"/>
        <w:left w:val="none" w:sz="0" w:space="0" w:color="auto"/>
        <w:bottom w:val="none" w:sz="0" w:space="0" w:color="auto"/>
        <w:right w:val="none" w:sz="0" w:space="0" w:color="auto"/>
      </w:divBdr>
    </w:div>
    <w:div w:id="1834955873">
      <w:bodyDiv w:val="1"/>
      <w:marLeft w:val="0"/>
      <w:marRight w:val="0"/>
      <w:marTop w:val="0"/>
      <w:marBottom w:val="0"/>
      <w:divBdr>
        <w:top w:val="none" w:sz="0" w:space="0" w:color="auto"/>
        <w:left w:val="none" w:sz="0" w:space="0" w:color="auto"/>
        <w:bottom w:val="none" w:sz="0" w:space="0" w:color="auto"/>
        <w:right w:val="none" w:sz="0" w:space="0" w:color="auto"/>
      </w:divBdr>
    </w:div>
    <w:div w:id="1922979640">
      <w:bodyDiv w:val="1"/>
      <w:marLeft w:val="0"/>
      <w:marRight w:val="0"/>
      <w:marTop w:val="0"/>
      <w:marBottom w:val="0"/>
      <w:divBdr>
        <w:top w:val="none" w:sz="0" w:space="0" w:color="auto"/>
        <w:left w:val="none" w:sz="0" w:space="0" w:color="auto"/>
        <w:bottom w:val="none" w:sz="0" w:space="0" w:color="auto"/>
        <w:right w:val="none" w:sz="0" w:space="0" w:color="auto"/>
      </w:divBdr>
    </w:div>
    <w:div w:id="2047288565">
      <w:bodyDiv w:val="1"/>
      <w:marLeft w:val="0"/>
      <w:marRight w:val="0"/>
      <w:marTop w:val="0"/>
      <w:marBottom w:val="0"/>
      <w:divBdr>
        <w:top w:val="none" w:sz="0" w:space="0" w:color="auto"/>
        <w:left w:val="none" w:sz="0" w:space="0" w:color="auto"/>
        <w:bottom w:val="none" w:sz="0" w:space="0" w:color="auto"/>
        <w:right w:val="none" w:sz="0" w:space="0" w:color="auto"/>
      </w:divBdr>
    </w:div>
    <w:div w:id="2051565049">
      <w:bodyDiv w:val="1"/>
      <w:marLeft w:val="0"/>
      <w:marRight w:val="0"/>
      <w:marTop w:val="0"/>
      <w:marBottom w:val="0"/>
      <w:divBdr>
        <w:top w:val="none" w:sz="0" w:space="0" w:color="auto"/>
        <w:left w:val="none" w:sz="0" w:space="0" w:color="auto"/>
        <w:bottom w:val="none" w:sz="0" w:space="0" w:color="auto"/>
        <w:right w:val="none" w:sz="0" w:space="0" w:color="auto"/>
      </w:divBdr>
    </w:div>
    <w:div w:id="2060394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241fec4-b6fe-4047-9a84-a827eab4fa8e">Draft</Category>
    <DocID xmlns="8241fec4-b6fe-4047-9a84-a827eab4fa8e">ad96d2a5-d7ba-4f3c-b1cb-14cd8f9d3e9a</DocID>
    <CaseID xmlns="8241fec4-b6fe-4047-9a84-a827eab4fa8e">2021-SE-0373</Cas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6DA7B50110D4BBE0DEE8DDD6C16B5" ma:contentTypeVersion="10" ma:contentTypeDescription="Create a new document." ma:contentTypeScope="" ma:versionID="075d28a41f78d49ceb1574a8164a566f">
  <xsd:schema xmlns:xsd="http://www.w3.org/2001/XMLSchema" xmlns:xs="http://www.w3.org/2001/XMLSchema" xmlns:p="http://schemas.microsoft.com/office/2006/metadata/properties" xmlns:ns3="6c2c0779-9114-47c5-a894-c6ef47409585" xmlns:ns4="3914a768-6265-4020-a73e-32455060228e" targetNamespace="http://schemas.microsoft.com/office/2006/metadata/properties" ma:root="true" ma:fieldsID="f038c15e5509046b92e2d77213710d58" ns3:_="" ns4:_="">
    <xsd:import namespace="6c2c0779-9114-47c5-a894-c6ef47409585"/>
    <xsd:import namespace="3914a768-6265-4020-a73e-3245506022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c0779-9114-47c5-a894-c6ef474095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4a768-6265-4020-a73e-324550602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1396F-2BFE-44F6-9B42-FE5D90EA744E}">
  <ds:schemaRefs>
    <ds:schemaRef ds:uri="http://schemas.microsoft.com/office/2006/metadata/properties"/>
    <ds:schemaRef ds:uri="8241fec4-b6fe-4047-9a84-a827eab4fa8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003ff9af-50f7-464b-b58e-f7ae6da7856f"/>
    <ds:schemaRef ds:uri="http://www.w3.org/XML/1998/namespace"/>
    <ds:schemaRef ds:uri="http://purl.org/dc/dcmitype/"/>
  </ds:schemaRefs>
</ds:datastoreItem>
</file>

<file path=customXml/itemProps2.xml><?xml version="1.0" encoding="utf-8"?>
<ds:datastoreItem xmlns:ds="http://schemas.openxmlformats.org/officeDocument/2006/customXml" ds:itemID="{8CDAB0D5-CEC6-4F4D-8549-0F18D0BFC69F}">
  <ds:schemaRefs>
    <ds:schemaRef ds:uri="http://schemas.microsoft.com/sharepoint/v3/contenttype/forms"/>
  </ds:schemaRefs>
</ds:datastoreItem>
</file>

<file path=customXml/itemProps3.xml><?xml version="1.0" encoding="utf-8"?>
<ds:datastoreItem xmlns:ds="http://schemas.openxmlformats.org/officeDocument/2006/customXml" ds:itemID="{D53977CB-0167-49AB-9698-0CDEAEDCD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c0779-9114-47c5-a894-c6ef47409585"/>
    <ds:schemaRef ds:uri="3914a768-6265-4020-a73e-324550602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9DA321-C8C4-4741-B652-46DDC244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Joint Statement on Innovation Efforts to Combat Money Laundering and Terrorist Financing</vt:lpstr>
    </vt:vector>
  </TitlesOfParts>
  <Company>Department of the Treasury</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Statement on Innovation Efforts to Combat Money Laundering and Terrorist Financing</dc:title>
  <dc:subject>Bank Secrecy Act Innovation</dc:subject>
  <dc:creator>Federal Regulators</dc:creator>
  <cp:keywords>Bank Secrecy Act, BSA, AML, Anit-Money Laundering, Innovation</cp:keywords>
  <dc:description/>
  <cp:lastModifiedBy>FRB2</cp:lastModifiedBy>
  <cp:revision>4</cp:revision>
  <cp:lastPrinted>2020-08-13T18:30:00Z</cp:lastPrinted>
  <dcterms:created xsi:type="dcterms:W3CDTF">2023-07-03T14:28:00Z</dcterms:created>
  <dcterms:modified xsi:type="dcterms:W3CDTF">2023-07-03T14:42:00Z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Acrobat PDFMaker 17 for Word</vt:lpwstr>
  </property>
  <property fmtid="{D5CDD505-2E9C-101B-9397-08002B2CF9AE}" pid="4" name="LastSaved">
    <vt:filetime>2020-04-28T00:00:00Z</vt:filetime>
  </property>
  <property fmtid="{D5CDD505-2E9C-101B-9397-08002B2CF9AE}" pid="5" name="TitusGUID">
    <vt:lpwstr>ae8c0b78-c74a-4c63-84e8-92723d298593</vt:lpwstr>
  </property>
  <property fmtid="{D5CDD505-2E9C-101B-9397-08002B2CF9AE}" pid="6" name="ContentTypeId">
    <vt:lpwstr>0x0101007B340221217F564EA29AE35A40860018</vt:lpwstr>
  </property>
  <property fmtid="{D5CDD505-2E9C-101B-9397-08002B2CF9AE}" pid="7" name="MSIP_Label_3cbab4f1-dcc8-4800-b101-70f2ebeb2cf4_Enabled">
    <vt:lpwstr>true</vt:lpwstr>
  </property>
  <property fmtid="{D5CDD505-2E9C-101B-9397-08002B2CF9AE}" pid="8" name="MSIP_Label_3cbab4f1-dcc8-4800-b101-70f2ebeb2cf4_SetDate">
    <vt:lpwstr>2023-07-03T14:42:46Z</vt:lpwstr>
  </property>
  <property fmtid="{D5CDD505-2E9C-101B-9397-08002B2CF9AE}" pid="9" name="MSIP_Label_3cbab4f1-dcc8-4800-b101-70f2ebeb2cf4_Method">
    <vt:lpwstr>Privileged</vt:lpwstr>
  </property>
  <property fmtid="{D5CDD505-2E9C-101B-9397-08002B2CF9AE}" pid="10" name="MSIP_Label_3cbab4f1-dcc8-4800-b101-70f2ebeb2cf4_Name">
    <vt:lpwstr>NONCONFIDENTIAL - EXTERNAL</vt:lpwstr>
  </property>
  <property fmtid="{D5CDD505-2E9C-101B-9397-08002B2CF9AE}" pid="11" name="MSIP_Label_3cbab4f1-dcc8-4800-b101-70f2ebeb2cf4_SiteId">
    <vt:lpwstr>87bb2570-5c1e-4973-9c37-09257a95aeb1</vt:lpwstr>
  </property>
  <property fmtid="{D5CDD505-2E9C-101B-9397-08002B2CF9AE}" pid="12" name="MSIP_Label_3cbab4f1-dcc8-4800-b101-70f2ebeb2cf4_ActionId">
    <vt:lpwstr>0707ccea-8b27-4ae2-9f91-92ac5e073624</vt:lpwstr>
  </property>
  <property fmtid="{D5CDD505-2E9C-101B-9397-08002B2CF9AE}" pid="13" name="MSIP_Label_3cbab4f1-dcc8-4800-b101-70f2ebeb2cf4_ContentBits">
    <vt:lpwstr>1</vt:lpwstr>
  </property>
</Properties>
</file>