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DE18" w14:textId="772C5287" w:rsidR="0095023D" w:rsidRPr="00EB6AEE" w:rsidRDefault="006B0C53" w:rsidP="0095023D">
      <w:pPr>
        <w:pStyle w:val="Body-BSA-AML"/>
        <w:spacing w:before="200"/>
        <w:jc w:val="center"/>
        <w:rPr>
          <w:rStyle w:val="Emphasis"/>
          <w:b/>
          <w:bCs/>
          <w:i w:val="0"/>
          <w:iCs w:val="0"/>
          <w:caps/>
          <w:color w:val="000000"/>
          <w:sz w:val="32"/>
          <w:szCs w:val="32"/>
        </w:rPr>
      </w:pPr>
      <w:r w:rsidRPr="00EB6AEE">
        <w:rPr>
          <w:rStyle w:val="Emphasis"/>
          <w:b/>
          <w:bCs/>
          <w:i w:val="0"/>
          <w:iCs w:val="0"/>
          <w:caps/>
          <w:color w:val="000000"/>
          <w:sz w:val="32"/>
          <w:szCs w:val="32"/>
        </w:rPr>
        <w:t>D</w:t>
      </w:r>
      <w:r w:rsidR="007013E7">
        <w:rPr>
          <w:rStyle w:val="Emphasis"/>
          <w:b/>
          <w:bCs/>
          <w:i w:val="0"/>
          <w:iCs w:val="0"/>
          <w:caps/>
          <w:color w:val="000000"/>
          <w:sz w:val="32"/>
          <w:szCs w:val="32"/>
        </w:rPr>
        <w:t>u</w:t>
      </w:r>
      <w:r w:rsidRPr="00EB6AEE">
        <w:rPr>
          <w:rStyle w:val="Emphasis"/>
          <w:b/>
          <w:bCs/>
          <w:i w:val="0"/>
          <w:iCs w:val="0"/>
          <w:caps/>
          <w:color w:val="000000"/>
          <w:sz w:val="32"/>
          <w:szCs w:val="32"/>
        </w:rPr>
        <w:t>E</w:t>
      </w:r>
      <w:r w:rsidR="007013E7">
        <w:rPr>
          <w:rStyle w:val="Emphasis"/>
          <w:b/>
          <w:bCs/>
          <w:i w:val="0"/>
          <w:iCs w:val="0"/>
          <w:caps/>
          <w:color w:val="000000"/>
          <w:sz w:val="32"/>
          <w:szCs w:val="32"/>
        </w:rPr>
        <w:t xml:space="preserve"> diligence programs for private banking accounts </w:t>
      </w:r>
      <w:r w:rsidR="0095023D" w:rsidRPr="00EB6AEE">
        <w:rPr>
          <w:rStyle w:val="Emphasis"/>
          <w:b/>
          <w:bCs/>
          <w:i w:val="0"/>
          <w:iCs w:val="0"/>
          <w:caps/>
          <w:color w:val="000000"/>
          <w:sz w:val="32"/>
          <w:szCs w:val="32"/>
        </w:rPr>
        <w:t>Examination and Testing Procedures</w:t>
      </w:r>
    </w:p>
    <w:p w14:paraId="7F9A54D8" w14:textId="7D519276" w:rsidR="0033262D" w:rsidRDefault="00DB2A96" w:rsidP="00DB2A96">
      <w:pPr>
        <w:pStyle w:val="Body-BSA-AML"/>
        <w:spacing w:before="200"/>
        <w:rPr>
          <w:rStyle w:val="CommentReference"/>
          <w:sz w:val="24"/>
          <w:szCs w:val="24"/>
        </w:rPr>
      </w:pPr>
      <w:r w:rsidRPr="00EB6AEE">
        <w:rPr>
          <w:rStyle w:val="Emphasis"/>
          <w:b/>
          <w:bCs/>
          <w:i w:val="0"/>
          <w:iCs w:val="0"/>
          <w:color w:val="000000"/>
          <w:szCs w:val="24"/>
        </w:rPr>
        <w:t>Objective:</w:t>
      </w:r>
      <w:r w:rsidRPr="00EB6AEE">
        <w:rPr>
          <w:rStyle w:val="Emphasis"/>
          <w:color w:val="000000"/>
          <w:szCs w:val="24"/>
        </w:rPr>
        <w:t xml:space="preserve"> </w:t>
      </w:r>
      <w:r w:rsidR="006D6ACB">
        <w:rPr>
          <w:rStyle w:val="Emphasis"/>
          <w:color w:val="000000"/>
          <w:szCs w:val="24"/>
        </w:rPr>
        <w:t xml:space="preserve"> </w:t>
      </w:r>
      <w:r w:rsidR="006D6ACB" w:rsidRPr="00830F08">
        <w:rPr>
          <w:rFonts w:eastAsiaTheme="minorEastAsia"/>
          <w:i/>
          <w:color w:val="000000" w:themeColor="text1"/>
          <w:szCs w:val="24"/>
        </w:rPr>
        <w:t>Assess the bank’s compliance with the Bank Secrecy Act (BSA) regulatory requirements for due diligence programs for private banking accounts established, maintained, administered, or managed in the United States for non-U.S. persons.</w:t>
      </w:r>
      <w:r w:rsidR="006D6ACB">
        <w:rPr>
          <w:rFonts w:eastAsiaTheme="minorEastAsia"/>
          <w:i/>
          <w:color w:val="000000" w:themeColor="text1"/>
          <w:szCs w:val="24"/>
        </w:rPr>
        <w:t xml:space="preserve"> </w:t>
      </w:r>
    </w:p>
    <w:tbl>
      <w:tblPr>
        <w:tblStyle w:val="TableGrid"/>
        <w:tblW w:w="10885" w:type="dxa"/>
        <w:tblLook w:val="04A0" w:firstRow="1" w:lastRow="0" w:firstColumn="1" w:lastColumn="0" w:noHBand="0" w:noVBand="1"/>
      </w:tblPr>
      <w:tblGrid>
        <w:gridCol w:w="5755"/>
        <w:gridCol w:w="5130"/>
      </w:tblGrid>
      <w:tr w:rsidR="00A60694" w:rsidRPr="008F01C3" w14:paraId="02A6CF9C" w14:textId="77777777" w:rsidTr="001234BF">
        <w:trPr>
          <w:trHeight w:hRule="exact" w:val="432"/>
          <w:tblHeader/>
        </w:trPr>
        <w:tc>
          <w:tcPr>
            <w:tcW w:w="5755" w:type="dxa"/>
            <w:shd w:val="clear" w:color="auto" w:fill="D9D9D9" w:themeFill="background1" w:themeFillShade="D9"/>
          </w:tcPr>
          <w:p w14:paraId="73516C6C" w14:textId="350B2B4F" w:rsidR="00A60694" w:rsidRPr="008F01C3" w:rsidRDefault="00A60694" w:rsidP="001234BF">
            <w:pPr>
              <w:widowControl/>
              <w:autoSpaceDE/>
              <w:autoSpaceDN/>
              <w:rPr>
                <w:b/>
                <w:bCs/>
                <w:sz w:val="28"/>
                <w:szCs w:val="28"/>
                <w:lang w:bidi="ar-SA"/>
              </w:rPr>
            </w:pPr>
            <w:r w:rsidRPr="008F01C3">
              <w:rPr>
                <w:b/>
                <w:bCs/>
                <w:sz w:val="28"/>
                <w:szCs w:val="28"/>
                <w:lang w:bidi="ar-SA"/>
              </w:rPr>
              <w:t>Procedure</w:t>
            </w:r>
          </w:p>
        </w:tc>
        <w:tc>
          <w:tcPr>
            <w:tcW w:w="5130" w:type="dxa"/>
            <w:shd w:val="clear" w:color="auto" w:fill="D9D9D9" w:themeFill="background1" w:themeFillShade="D9"/>
          </w:tcPr>
          <w:p w14:paraId="15B95962" w14:textId="4C08E437" w:rsidR="00A60694" w:rsidRPr="008F01C3" w:rsidRDefault="00A60694" w:rsidP="001234BF">
            <w:pPr>
              <w:widowControl/>
              <w:autoSpaceDE/>
              <w:autoSpaceDN/>
              <w:rPr>
                <w:b/>
                <w:bCs/>
                <w:sz w:val="28"/>
                <w:szCs w:val="28"/>
                <w:lang w:bidi="ar-SA"/>
              </w:rPr>
            </w:pPr>
            <w:r w:rsidRPr="008F01C3">
              <w:rPr>
                <w:b/>
                <w:bCs/>
                <w:sz w:val="28"/>
                <w:szCs w:val="28"/>
                <w:lang w:bidi="ar-SA"/>
              </w:rPr>
              <w:t>Comment</w:t>
            </w:r>
            <w:r w:rsidR="001234BF">
              <w:rPr>
                <w:b/>
                <w:bCs/>
                <w:sz w:val="28"/>
                <w:szCs w:val="28"/>
                <w:lang w:bidi="ar-SA"/>
              </w:rPr>
              <w:t>s</w:t>
            </w:r>
          </w:p>
        </w:tc>
      </w:tr>
      <w:tr w:rsidR="00A60694" w:rsidRPr="008F01C3" w14:paraId="5754EAA9" w14:textId="77777777" w:rsidTr="001234BF">
        <w:tc>
          <w:tcPr>
            <w:tcW w:w="5755" w:type="dxa"/>
          </w:tcPr>
          <w:p w14:paraId="4E23E72D" w14:textId="77777777" w:rsidR="006D6ACB" w:rsidRPr="00830F08" w:rsidRDefault="006D6ACB" w:rsidP="006D6ACB">
            <w:pPr>
              <w:widowControl/>
              <w:numPr>
                <w:ilvl w:val="0"/>
                <w:numId w:val="24"/>
              </w:numPr>
              <w:autoSpaceDE/>
              <w:autoSpaceDN/>
              <w:spacing w:before="120" w:after="120" w:line="259" w:lineRule="auto"/>
              <w:ind w:left="360"/>
              <w:rPr>
                <w:rFonts w:eastAsiaTheme="minorEastAsia"/>
                <w:color w:val="000000" w:themeColor="text1"/>
                <w:szCs w:val="24"/>
              </w:rPr>
            </w:pPr>
            <w:r w:rsidRPr="00830F08">
              <w:rPr>
                <w:rFonts w:eastAsiaTheme="minorEastAsia"/>
                <w:color w:val="000000" w:themeColor="text1"/>
                <w:szCs w:val="24"/>
              </w:rPr>
              <w:t>Determine whether the bank offers accounts that meet the regulatory definition of a private banking account:</w:t>
            </w:r>
            <w:r w:rsidRPr="00830F08">
              <w:rPr>
                <w:rStyle w:val="FootnoteReference"/>
                <w:rFonts w:eastAsiaTheme="minorEastAsia"/>
                <w:color w:val="000000" w:themeColor="text1"/>
              </w:rPr>
              <w:footnoteReference w:id="2"/>
            </w:r>
          </w:p>
          <w:p w14:paraId="52689A57" w14:textId="77777777" w:rsidR="006D6ACB" w:rsidRPr="00830F08" w:rsidRDefault="006D6ACB" w:rsidP="006D6ACB">
            <w:pPr>
              <w:widowControl/>
              <w:numPr>
                <w:ilvl w:val="0"/>
                <w:numId w:val="23"/>
              </w:numPr>
              <w:autoSpaceDE/>
              <w:autoSpaceDN/>
              <w:spacing w:before="120" w:after="120"/>
              <w:ind w:left="630"/>
              <w:rPr>
                <w:color w:val="000000" w:themeColor="text1"/>
                <w:szCs w:val="24"/>
              </w:rPr>
            </w:pPr>
            <w:r w:rsidRPr="00830F08">
              <w:rPr>
                <w:color w:val="000000" w:themeColor="text1"/>
                <w:szCs w:val="24"/>
              </w:rPr>
              <w:t>Requires a minimum aggregate deposit of funds or other assets of not less than $1 million;</w:t>
            </w:r>
          </w:p>
          <w:p w14:paraId="11F5D227" w14:textId="77777777" w:rsidR="006D6ACB" w:rsidRPr="00830F08" w:rsidRDefault="006D6ACB" w:rsidP="006D6ACB">
            <w:pPr>
              <w:widowControl/>
              <w:numPr>
                <w:ilvl w:val="0"/>
                <w:numId w:val="23"/>
              </w:numPr>
              <w:autoSpaceDE/>
              <w:autoSpaceDN/>
              <w:spacing w:before="120" w:after="120"/>
              <w:ind w:left="630"/>
              <w:rPr>
                <w:color w:val="000000" w:themeColor="text1"/>
                <w:szCs w:val="24"/>
              </w:rPr>
            </w:pPr>
            <w:r w:rsidRPr="00830F08">
              <w:rPr>
                <w:color w:val="000000" w:themeColor="text1"/>
                <w:szCs w:val="24"/>
              </w:rPr>
              <w:t>Is established on behalf of, or for the benefit of, one or more non-U.S. persons who are direct or beneficial owners of the account; and</w:t>
            </w:r>
          </w:p>
          <w:p w14:paraId="54774054" w14:textId="24B1A93E" w:rsidR="00A60694" w:rsidRPr="0012537B" w:rsidRDefault="006D6ACB" w:rsidP="0012537B">
            <w:pPr>
              <w:widowControl/>
              <w:numPr>
                <w:ilvl w:val="0"/>
                <w:numId w:val="23"/>
              </w:numPr>
              <w:autoSpaceDE/>
              <w:autoSpaceDN/>
              <w:spacing w:before="120" w:after="120"/>
              <w:ind w:left="630"/>
              <w:rPr>
                <w:rStyle w:val="Emphasis"/>
                <w:i w:val="0"/>
                <w:iCs w:val="0"/>
                <w:color w:val="000000" w:themeColor="text1"/>
                <w:szCs w:val="24"/>
              </w:rPr>
            </w:pPr>
            <w:r w:rsidRPr="00830F08">
              <w:rPr>
                <w:color w:val="000000" w:themeColor="text1"/>
                <w:szCs w:val="24"/>
              </w:rPr>
              <w:t>Is assigned to, or is administered or managed by, in whole or in part, an officer, employee, or agent of a bank acting as a liaison between the bank and the direct or beneficial owner of the account.</w:t>
            </w:r>
          </w:p>
        </w:tc>
        <w:tc>
          <w:tcPr>
            <w:tcW w:w="5130" w:type="dxa"/>
          </w:tcPr>
          <w:p w14:paraId="7DEBBA3E" w14:textId="77777777" w:rsidR="00A60694" w:rsidRPr="008F01C3" w:rsidRDefault="00A60694" w:rsidP="001234BF">
            <w:pPr>
              <w:pStyle w:val="Body-BSA-AML"/>
              <w:spacing w:after="0"/>
              <w:rPr>
                <w:rStyle w:val="Emphasis"/>
                <w:i w:val="0"/>
                <w:iCs w:val="0"/>
                <w:color w:val="000000"/>
                <w:szCs w:val="24"/>
              </w:rPr>
            </w:pPr>
          </w:p>
        </w:tc>
      </w:tr>
      <w:tr w:rsidR="00A60694" w:rsidRPr="008F01C3" w14:paraId="504D8AD6" w14:textId="77777777" w:rsidTr="001234BF">
        <w:tc>
          <w:tcPr>
            <w:tcW w:w="5755" w:type="dxa"/>
          </w:tcPr>
          <w:p w14:paraId="1BB5BD7F" w14:textId="77777777" w:rsidR="006D6ACB" w:rsidRPr="00830F08" w:rsidRDefault="006D6ACB" w:rsidP="006D6ACB">
            <w:pPr>
              <w:widowControl/>
              <w:numPr>
                <w:ilvl w:val="0"/>
                <w:numId w:val="24"/>
              </w:numPr>
              <w:autoSpaceDE/>
              <w:autoSpaceDN/>
              <w:spacing w:before="120" w:after="120" w:line="259" w:lineRule="auto"/>
              <w:ind w:left="360"/>
              <w:rPr>
                <w:rFonts w:eastAsiaTheme="minorEastAsia"/>
                <w:color w:val="000000" w:themeColor="text1"/>
                <w:szCs w:val="24"/>
              </w:rPr>
            </w:pPr>
            <w:r w:rsidRPr="00830F08">
              <w:rPr>
                <w:rFonts w:eastAsiaTheme="minorEastAsia"/>
                <w:color w:val="000000" w:themeColor="text1"/>
                <w:szCs w:val="24"/>
              </w:rPr>
              <w:t>Review the bank’s due diligence policies, procedures, and controls related to private banking accounts.  Determine whether the bank’s policies, procedures, and controls:</w:t>
            </w:r>
          </w:p>
          <w:p w14:paraId="26336B6F" w14:textId="77777777" w:rsidR="006D6ACB" w:rsidRPr="00830F08" w:rsidRDefault="006D6ACB" w:rsidP="006D6ACB">
            <w:pPr>
              <w:widowControl/>
              <w:numPr>
                <w:ilvl w:val="0"/>
                <w:numId w:val="26"/>
              </w:numPr>
              <w:autoSpaceDE/>
              <w:autoSpaceDN/>
              <w:spacing w:before="120" w:after="120" w:line="259" w:lineRule="auto"/>
              <w:rPr>
                <w:rFonts w:eastAsiaTheme="minorEastAsia"/>
                <w:color w:val="000000" w:themeColor="text1"/>
                <w:szCs w:val="24"/>
              </w:rPr>
            </w:pPr>
            <w:r w:rsidRPr="00830F08">
              <w:rPr>
                <w:rFonts w:eastAsiaTheme="minorEastAsia"/>
                <w:color w:val="000000" w:themeColor="text1"/>
                <w:szCs w:val="24"/>
              </w:rPr>
              <w:t>Are reasonably designed to detect and report any known or suspected money laundering (ML) or suspicious activity conducted through or involving any private banking account that is established, maintained, administered, or managed in the United States.</w:t>
            </w:r>
          </w:p>
          <w:p w14:paraId="1DAD40F1" w14:textId="77777777" w:rsidR="006D6ACB" w:rsidRPr="00830F08" w:rsidRDefault="006D6ACB" w:rsidP="006D6ACB">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Require the bank to take reasonable steps to:</w:t>
            </w:r>
          </w:p>
          <w:p w14:paraId="1AA11932" w14:textId="77777777" w:rsidR="006D6ACB" w:rsidRPr="00830F08" w:rsidRDefault="006D6ACB" w:rsidP="006D6ACB">
            <w:pPr>
              <w:widowControl/>
              <w:numPr>
                <w:ilvl w:val="1"/>
                <w:numId w:val="25"/>
              </w:numPr>
              <w:autoSpaceDE/>
              <w:autoSpaceDN/>
              <w:spacing w:before="120" w:after="120"/>
              <w:ind w:left="1080"/>
              <w:rPr>
                <w:color w:val="000000" w:themeColor="text1"/>
                <w:szCs w:val="24"/>
              </w:rPr>
            </w:pPr>
            <w:r w:rsidRPr="00830F08">
              <w:rPr>
                <w:color w:val="000000" w:themeColor="text1"/>
                <w:szCs w:val="24"/>
              </w:rPr>
              <w:t>Ascertain the identity of all nominal and beneficial owners of a private banking account.</w:t>
            </w:r>
          </w:p>
          <w:p w14:paraId="31505D1F" w14:textId="77777777" w:rsidR="006D6ACB" w:rsidRPr="00830F08" w:rsidRDefault="006D6ACB" w:rsidP="006D6ACB">
            <w:pPr>
              <w:widowControl/>
              <w:numPr>
                <w:ilvl w:val="1"/>
                <w:numId w:val="25"/>
              </w:numPr>
              <w:autoSpaceDE/>
              <w:autoSpaceDN/>
              <w:spacing w:before="120" w:after="120"/>
              <w:ind w:left="1080"/>
              <w:rPr>
                <w:color w:val="000000" w:themeColor="text1"/>
                <w:szCs w:val="24"/>
              </w:rPr>
            </w:pPr>
            <w:r w:rsidRPr="00830F08">
              <w:rPr>
                <w:color w:val="000000" w:themeColor="text1"/>
                <w:szCs w:val="24"/>
              </w:rPr>
              <w:t>Ascertain whether the nominal or beneficial owner of any private banking account is a senior foreign political figure (SFPF).</w:t>
            </w:r>
          </w:p>
          <w:p w14:paraId="73112C73" w14:textId="77777777" w:rsidR="006D6ACB" w:rsidRPr="00830F08" w:rsidRDefault="006D6ACB" w:rsidP="006D6ACB">
            <w:pPr>
              <w:widowControl/>
              <w:numPr>
                <w:ilvl w:val="1"/>
                <w:numId w:val="25"/>
              </w:numPr>
              <w:autoSpaceDE/>
              <w:autoSpaceDN/>
              <w:spacing w:before="120" w:after="120"/>
              <w:ind w:left="1080"/>
              <w:rPr>
                <w:color w:val="000000" w:themeColor="text1"/>
                <w:szCs w:val="24"/>
              </w:rPr>
            </w:pPr>
            <w:r w:rsidRPr="00830F08">
              <w:rPr>
                <w:color w:val="000000" w:themeColor="text1"/>
                <w:szCs w:val="24"/>
              </w:rPr>
              <w:t>Ascertain the source(s) of funds deposited into a private banking account and the purpose and expected use of the account.</w:t>
            </w:r>
          </w:p>
          <w:p w14:paraId="74E32ED6" w14:textId="77777777" w:rsidR="006D6ACB" w:rsidRPr="00830F08" w:rsidRDefault="006D6ACB" w:rsidP="006D6ACB">
            <w:pPr>
              <w:numPr>
                <w:ilvl w:val="1"/>
                <w:numId w:val="25"/>
              </w:numPr>
              <w:tabs>
                <w:tab w:val="left" w:pos="2228"/>
              </w:tabs>
              <w:spacing w:before="120" w:after="120"/>
              <w:ind w:left="1080"/>
              <w:rPr>
                <w:rFonts w:eastAsiaTheme="minorEastAsia"/>
                <w:color w:val="000000" w:themeColor="text1"/>
                <w:szCs w:val="24"/>
              </w:rPr>
            </w:pPr>
            <w:r w:rsidRPr="00830F08">
              <w:rPr>
                <w:color w:val="000000" w:themeColor="text1"/>
                <w:szCs w:val="24"/>
              </w:rPr>
              <w:t xml:space="preserve">Review the activity of the account to ensure that it is consistent with the information obtained about the client’s source of funds, and with the stated purpose and expected use of the account, as </w:t>
            </w:r>
            <w:r w:rsidRPr="00830F08">
              <w:rPr>
                <w:color w:val="000000" w:themeColor="text1"/>
                <w:szCs w:val="24"/>
              </w:rPr>
              <w:lastRenderedPageBreak/>
              <w:t>needed to guard against ML, and to report, in accordance with applicable laws and regulations, any known or suspected ML or suspicious activity conducted to, from, or through a private banking account.</w:t>
            </w:r>
          </w:p>
          <w:p w14:paraId="4A88B9B5" w14:textId="77777777" w:rsidR="006D6ACB" w:rsidRPr="00830F08" w:rsidRDefault="006D6ACB" w:rsidP="006D6ACB">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Require the bank to perform enhanced scrutiny for private banking accounts in which an SFPF is a nominal or beneficial owner.  Enhanced scrutiny of the account must be reasonably designed to detect and report transactions that may involve the proceeds of foreign corruption.</w:t>
            </w:r>
          </w:p>
          <w:p w14:paraId="7A49393B" w14:textId="77777777" w:rsidR="006D6ACB" w:rsidRPr="00830F08" w:rsidRDefault="006D6ACB" w:rsidP="006D6ACB">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Include special procedures to be followed when appropriate due diligence cannot be performed, including when the bank should:</w:t>
            </w:r>
          </w:p>
          <w:p w14:paraId="66257C86" w14:textId="77777777" w:rsidR="006D6ACB" w:rsidRPr="00830F08" w:rsidRDefault="006D6ACB" w:rsidP="006D6ACB">
            <w:pPr>
              <w:numPr>
                <w:ilvl w:val="1"/>
                <w:numId w:val="26"/>
              </w:numPr>
              <w:spacing w:before="120" w:after="120"/>
              <w:ind w:left="1080"/>
              <w:rPr>
                <w:rFonts w:eastAsiaTheme="minorEastAsia"/>
                <w:color w:val="000000" w:themeColor="text1"/>
                <w:szCs w:val="24"/>
              </w:rPr>
            </w:pPr>
            <w:r w:rsidRPr="00830F08">
              <w:rPr>
                <w:rFonts w:eastAsiaTheme="minorEastAsia"/>
                <w:color w:val="000000" w:themeColor="text1"/>
                <w:szCs w:val="24"/>
              </w:rPr>
              <w:t>Refuse to open the account.</w:t>
            </w:r>
          </w:p>
          <w:p w14:paraId="472716B1" w14:textId="77777777" w:rsidR="006D6ACB" w:rsidRPr="00830F08" w:rsidRDefault="006D6ACB" w:rsidP="006D6ACB">
            <w:pPr>
              <w:numPr>
                <w:ilvl w:val="1"/>
                <w:numId w:val="26"/>
              </w:numPr>
              <w:spacing w:before="120" w:after="120"/>
              <w:ind w:left="1080"/>
              <w:rPr>
                <w:rFonts w:eastAsiaTheme="minorEastAsia"/>
                <w:color w:val="000000" w:themeColor="text1"/>
                <w:szCs w:val="24"/>
              </w:rPr>
            </w:pPr>
            <w:r w:rsidRPr="00830F08">
              <w:rPr>
                <w:rFonts w:eastAsiaTheme="minorEastAsia"/>
                <w:color w:val="000000" w:themeColor="text1"/>
                <w:szCs w:val="24"/>
              </w:rPr>
              <w:t>Suspend transaction activity.</w:t>
            </w:r>
          </w:p>
          <w:p w14:paraId="419E615D" w14:textId="7C9A98A1" w:rsidR="006D6ACB" w:rsidRDefault="006D6ACB" w:rsidP="006D6ACB">
            <w:pPr>
              <w:numPr>
                <w:ilvl w:val="1"/>
                <w:numId w:val="26"/>
              </w:numPr>
              <w:spacing w:before="120" w:after="120"/>
              <w:ind w:left="1080"/>
              <w:rPr>
                <w:rFonts w:eastAsiaTheme="minorEastAsia"/>
                <w:color w:val="000000" w:themeColor="text1"/>
                <w:szCs w:val="24"/>
              </w:rPr>
            </w:pPr>
            <w:r w:rsidRPr="00830F08">
              <w:rPr>
                <w:rFonts w:eastAsiaTheme="minorEastAsia"/>
                <w:color w:val="000000" w:themeColor="text1"/>
                <w:szCs w:val="24"/>
              </w:rPr>
              <w:t>File a suspicious activity report.</w:t>
            </w:r>
          </w:p>
          <w:p w14:paraId="6FBB4543" w14:textId="055BF148" w:rsidR="00A60694" w:rsidRPr="0012537B" w:rsidRDefault="006D6ACB" w:rsidP="0012537B">
            <w:pPr>
              <w:numPr>
                <w:ilvl w:val="1"/>
                <w:numId w:val="26"/>
              </w:numPr>
              <w:spacing w:before="120" w:after="120"/>
              <w:ind w:left="1080"/>
              <w:rPr>
                <w:rStyle w:val="Emphasis"/>
                <w:rFonts w:eastAsiaTheme="minorEastAsia"/>
                <w:i w:val="0"/>
                <w:iCs w:val="0"/>
                <w:color w:val="000000" w:themeColor="text1"/>
                <w:szCs w:val="24"/>
              </w:rPr>
            </w:pPr>
            <w:r>
              <w:rPr>
                <w:rFonts w:eastAsiaTheme="minorEastAsia"/>
                <w:color w:val="000000" w:themeColor="text1"/>
                <w:szCs w:val="24"/>
              </w:rPr>
              <w:t>Close the account.</w:t>
            </w:r>
          </w:p>
        </w:tc>
        <w:tc>
          <w:tcPr>
            <w:tcW w:w="5130" w:type="dxa"/>
          </w:tcPr>
          <w:p w14:paraId="7E5CFC72" w14:textId="77777777" w:rsidR="00A60694" w:rsidRPr="008F01C3" w:rsidRDefault="00A60694" w:rsidP="001234BF">
            <w:pPr>
              <w:pStyle w:val="Body-BSA-AML"/>
              <w:spacing w:after="0"/>
              <w:rPr>
                <w:rStyle w:val="Emphasis"/>
                <w:i w:val="0"/>
                <w:iCs w:val="0"/>
                <w:color w:val="000000"/>
                <w:szCs w:val="24"/>
              </w:rPr>
            </w:pPr>
          </w:p>
        </w:tc>
      </w:tr>
      <w:tr w:rsidR="00A60694" w:rsidRPr="008F01C3" w14:paraId="2ED5FFF0" w14:textId="77777777" w:rsidTr="001234BF">
        <w:tc>
          <w:tcPr>
            <w:tcW w:w="5755" w:type="dxa"/>
          </w:tcPr>
          <w:p w14:paraId="0702A008" w14:textId="77777777" w:rsidR="0009227F" w:rsidRPr="00830F08" w:rsidRDefault="0009227F" w:rsidP="0009227F">
            <w:pPr>
              <w:numPr>
                <w:ilvl w:val="0"/>
                <w:numId w:val="24"/>
              </w:numPr>
              <w:tabs>
                <w:tab w:val="left" w:pos="2228"/>
              </w:tabs>
              <w:spacing w:before="120" w:after="120"/>
              <w:ind w:left="360"/>
              <w:rPr>
                <w:rFonts w:eastAsiaTheme="minorEastAsia"/>
                <w:color w:val="000000" w:themeColor="text1"/>
                <w:szCs w:val="24"/>
              </w:rPr>
            </w:pPr>
            <w:r w:rsidRPr="00830F08">
              <w:t>On the basis of a risk assessment, prior examination reports, and a review of the bank’s audit findings, s</w:t>
            </w:r>
            <w:r w:rsidRPr="00830F08">
              <w:rPr>
                <w:rFonts w:eastAsiaTheme="minorEastAsia"/>
                <w:color w:val="000000" w:themeColor="text1"/>
                <w:szCs w:val="24"/>
              </w:rPr>
              <w:t>elect a sample of private banking accounts.  The sample should include, if applicable, private banking accounts with nominal or beneficial owners that are SFPFs and/or any private banking accounts that were closed.  From the sample selected, determine whether the bank:</w:t>
            </w:r>
          </w:p>
          <w:p w14:paraId="0AC2167F" w14:textId="77777777" w:rsidR="0009227F" w:rsidRPr="00830F08" w:rsidRDefault="0009227F" w:rsidP="0009227F">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Ascertained the identity of all nominal and beneficial owners of a private banking account.</w:t>
            </w:r>
          </w:p>
          <w:p w14:paraId="52E5B378" w14:textId="77777777" w:rsidR="0009227F" w:rsidRPr="00830F08" w:rsidRDefault="0009227F" w:rsidP="0009227F">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Ascertained whether the nominal or beneficial owner of any private banking account is an SFPF.</w:t>
            </w:r>
          </w:p>
          <w:p w14:paraId="5122D850" w14:textId="77777777" w:rsidR="0009227F" w:rsidRPr="00830F08" w:rsidRDefault="0009227F" w:rsidP="0009227F">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Ascertained the source(s) of funds deposited into a private banking account and the purpose and expected use of the account.</w:t>
            </w:r>
          </w:p>
          <w:p w14:paraId="40D1471C" w14:textId="77777777" w:rsidR="0009227F" w:rsidRPr="00830F08" w:rsidRDefault="0009227F" w:rsidP="0009227F">
            <w:pPr>
              <w:numPr>
                <w:ilvl w:val="0"/>
                <w:numId w:val="26"/>
              </w:numPr>
              <w:tabs>
                <w:tab w:val="left" w:pos="2228"/>
              </w:tabs>
              <w:spacing w:before="120" w:after="120"/>
              <w:rPr>
                <w:rFonts w:eastAsiaTheme="minorEastAsia"/>
                <w:color w:val="000000" w:themeColor="text1"/>
                <w:szCs w:val="24"/>
              </w:rPr>
            </w:pPr>
            <w:r w:rsidRPr="00830F08">
              <w:rPr>
                <w:rFonts w:eastAsiaTheme="minorEastAsia"/>
                <w:color w:val="000000" w:themeColor="text1"/>
                <w:szCs w:val="24"/>
              </w:rPr>
              <w:t>Completed reviews of activity to ensure it is consistent with the information obtained about the client’s source of funds, with the stated purpose and expected use of the account, and with any other information obtained in accordance with the bank’s policy.</w:t>
            </w:r>
          </w:p>
          <w:p w14:paraId="37A1D30A" w14:textId="77777777" w:rsidR="0009227F" w:rsidRPr="00830F08" w:rsidRDefault="0009227F" w:rsidP="0009227F">
            <w:pPr>
              <w:numPr>
                <w:ilvl w:val="0"/>
                <w:numId w:val="26"/>
              </w:numPr>
              <w:tabs>
                <w:tab w:val="left" w:pos="2228"/>
              </w:tabs>
              <w:spacing w:before="120" w:after="120"/>
              <w:rPr>
                <w:color w:val="000000" w:themeColor="text1"/>
                <w:szCs w:val="24"/>
              </w:rPr>
            </w:pPr>
            <w:r w:rsidRPr="00830F08">
              <w:rPr>
                <w:rFonts w:eastAsiaTheme="minorEastAsia"/>
                <w:color w:val="000000" w:themeColor="text1"/>
                <w:szCs w:val="24"/>
              </w:rPr>
              <w:t>Performed enhanced scrutiny of private banking accounts in which SFPFs are nom</w:t>
            </w:r>
            <w:r w:rsidRPr="00830F08">
              <w:rPr>
                <w:color w:val="000000" w:themeColor="text1"/>
                <w:szCs w:val="24"/>
              </w:rPr>
              <w:t>inal or beneficial owners.</w:t>
            </w:r>
          </w:p>
          <w:p w14:paraId="49D42376" w14:textId="68B393AA" w:rsidR="00A60694" w:rsidRPr="0012537B" w:rsidRDefault="0009227F" w:rsidP="0012537B">
            <w:pPr>
              <w:widowControl/>
              <w:numPr>
                <w:ilvl w:val="0"/>
                <w:numId w:val="26"/>
              </w:numPr>
              <w:autoSpaceDE/>
              <w:autoSpaceDN/>
              <w:spacing w:before="120" w:after="120"/>
              <w:rPr>
                <w:rStyle w:val="Emphasis"/>
                <w:i w:val="0"/>
                <w:iCs w:val="0"/>
                <w:color w:val="000000" w:themeColor="text1"/>
                <w:szCs w:val="24"/>
              </w:rPr>
            </w:pPr>
            <w:r w:rsidRPr="00830F08">
              <w:rPr>
                <w:color w:val="000000" w:themeColor="text1"/>
                <w:szCs w:val="24"/>
              </w:rPr>
              <w:lastRenderedPageBreak/>
              <w:t>Followed special procedures for any private banking accounts where appropriate due diligence was not able to be performed.</w:t>
            </w:r>
          </w:p>
        </w:tc>
        <w:tc>
          <w:tcPr>
            <w:tcW w:w="5130" w:type="dxa"/>
          </w:tcPr>
          <w:p w14:paraId="6A613909" w14:textId="77777777" w:rsidR="00A60694" w:rsidRPr="008F01C3" w:rsidRDefault="00A60694" w:rsidP="001234BF">
            <w:pPr>
              <w:pStyle w:val="Body-BSA-AML"/>
              <w:spacing w:after="0"/>
              <w:rPr>
                <w:rStyle w:val="Emphasis"/>
                <w:i w:val="0"/>
                <w:iCs w:val="0"/>
                <w:color w:val="000000"/>
                <w:szCs w:val="24"/>
              </w:rPr>
            </w:pPr>
          </w:p>
        </w:tc>
      </w:tr>
      <w:tr w:rsidR="00A60694" w:rsidRPr="008F01C3" w14:paraId="159044A1" w14:textId="77777777" w:rsidTr="001234BF">
        <w:tc>
          <w:tcPr>
            <w:tcW w:w="5755" w:type="dxa"/>
          </w:tcPr>
          <w:p w14:paraId="62C862B7" w14:textId="0E196E53" w:rsidR="00A60694" w:rsidRPr="0012537B" w:rsidRDefault="0009227F" w:rsidP="0012537B">
            <w:pPr>
              <w:numPr>
                <w:ilvl w:val="0"/>
                <w:numId w:val="24"/>
              </w:numPr>
              <w:tabs>
                <w:tab w:val="left" w:pos="2228"/>
              </w:tabs>
              <w:spacing w:before="120" w:after="120"/>
              <w:ind w:left="360"/>
              <w:rPr>
                <w:rStyle w:val="Emphasis"/>
                <w:rFonts w:eastAsiaTheme="minorEastAsia"/>
                <w:i w:val="0"/>
                <w:iCs w:val="0"/>
                <w:color w:val="000000" w:themeColor="text1"/>
                <w:szCs w:val="24"/>
              </w:rPr>
            </w:pPr>
            <w:r w:rsidRPr="00830F08">
              <w:rPr>
                <w:rFonts w:eastAsiaTheme="minorEastAsia"/>
                <w:color w:val="000000" w:themeColor="text1"/>
                <w:szCs w:val="24"/>
              </w:rPr>
              <w:t>On the basis of examination and testing procedures completed, form a conclusion about the adequacy of policies, procedures, and controls the bank has developed to meet</w:t>
            </w:r>
            <w:r>
              <w:rPr>
                <w:rFonts w:eastAsiaTheme="minorEastAsia"/>
                <w:color w:val="000000" w:themeColor="text1"/>
                <w:szCs w:val="24"/>
              </w:rPr>
              <w:t xml:space="preserve"> Bank Secrecy Act</w:t>
            </w:r>
            <w:r w:rsidRPr="00830F08">
              <w:rPr>
                <w:rFonts w:eastAsiaTheme="minorEastAsia"/>
                <w:color w:val="000000" w:themeColor="text1"/>
                <w:szCs w:val="24"/>
              </w:rPr>
              <w:t xml:space="preserve"> </w:t>
            </w:r>
            <w:r>
              <w:rPr>
                <w:rFonts w:eastAsiaTheme="minorEastAsia"/>
                <w:color w:val="000000" w:themeColor="text1"/>
                <w:szCs w:val="24"/>
              </w:rPr>
              <w:t>(</w:t>
            </w:r>
            <w:r w:rsidRPr="00830F08">
              <w:rPr>
                <w:rFonts w:eastAsiaTheme="minorEastAsia"/>
                <w:color w:val="000000" w:themeColor="text1"/>
                <w:szCs w:val="24"/>
              </w:rPr>
              <w:t>BSA</w:t>
            </w:r>
            <w:r>
              <w:rPr>
                <w:rFonts w:eastAsiaTheme="minorEastAsia"/>
                <w:color w:val="000000" w:themeColor="text1"/>
                <w:szCs w:val="24"/>
              </w:rPr>
              <w:t>)</w:t>
            </w:r>
            <w:r w:rsidRPr="00830F08">
              <w:rPr>
                <w:rFonts w:eastAsiaTheme="minorEastAsia"/>
                <w:color w:val="000000" w:themeColor="text1"/>
                <w:szCs w:val="24"/>
              </w:rPr>
              <w:t xml:space="preserve"> regulatory requirements for due diligence programs for private banking accounts.</w:t>
            </w:r>
          </w:p>
        </w:tc>
        <w:tc>
          <w:tcPr>
            <w:tcW w:w="5130" w:type="dxa"/>
          </w:tcPr>
          <w:p w14:paraId="3C800017" w14:textId="77777777" w:rsidR="00A60694" w:rsidRPr="008F01C3" w:rsidRDefault="00A60694" w:rsidP="001234BF">
            <w:pPr>
              <w:pStyle w:val="Body-BSA-AML"/>
              <w:spacing w:after="0"/>
              <w:rPr>
                <w:rStyle w:val="Emphasis"/>
                <w:i w:val="0"/>
                <w:iCs w:val="0"/>
                <w:color w:val="000000"/>
                <w:szCs w:val="24"/>
              </w:rPr>
            </w:pPr>
          </w:p>
        </w:tc>
      </w:tr>
    </w:tbl>
    <w:p w14:paraId="1CE2D529" w14:textId="77777777" w:rsidR="00A60694" w:rsidRPr="00D705ED" w:rsidRDefault="00A60694" w:rsidP="00DB2A96">
      <w:pPr>
        <w:pStyle w:val="Body-BSA-AML"/>
        <w:spacing w:before="200"/>
        <w:rPr>
          <w:rStyle w:val="Emphasis"/>
          <w:color w:val="000000"/>
          <w:szCs w:val="24"/>
        </w:rPr>
      </w:pPr>
    </w:p>
    <w:p w14:paraId="560F67FA" w14:textId="77777777" w:rsidR="00DB2A96" w:rsidRPr="000C6D6C" w:rsidRDefault="00DB2A96" w:rsidP="00DD6378">
      <w:pPr>
        <w:spacing w:before="200" w:after="200"/>
        <w:rPr>
          <w:sz w:val="24"/>
          <w:szCs w:val="24"/>
        </w:rPr>
      </w:pPr>
    </w:p>
    <w:sectPr w:rsidR="00DB2A96" w:rsidRPr="000C6D6C" w:rsidSect="00DB611F">
      <w:headerReference w:type="default" r:id="rId11"/>
      <w:footerReference w:type="default" r:id="rId12"/>
      <w:pgSz w:w="12240" w:h="15840" w:code="1"/>
      <w:pgMar w:top="1008" w:right="720" w:bottom="100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F3C1" w14:textId="77777777" w:rsidR="00E5622D" w:rsidRDefault="00E5622D">
      <w:r>
        <w:separator/>
      </w:r>
    </w:p>
  </w:endnote>
  <w:endnote w:type="continuationSeparator" w:id="0">
    <w:p w14:paraId="6D22F11E" w14:textId="77777777" w:rsidR="00E5622D" w:rsidRDefault="00E5622D">
      <w:r>
        <w:continuationSeparator/>
      </w:r>
    </w:p>
  </w:endnote>
  <w:endnote w:type="continuationNotice" w:id="1">
    <w:p w14:paraId="54D0111F" w14:textId="77777777" w:rsidR="00E5622D" w:rsidRDefault="00E56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91E3" w14:textId="2DF4B0DB" w:rsidR="00EE07C7" w:rsidRDefault="00EE07C7" w:rsidP="00EE07C7">
    <w:pPr>
      <w:pStyle w:val="FooterBSA-AML"/>
      <w:tabs>
        <w:tab w:val="clear" w:pos="4320"/>
        <w:tab w:val="clear" w:pos="8640"/>
        <w:tab w:val="center" w:pos="5760"/>
        <w:tab w:val="right" w:pos="10800"/>
      </w:tabs>
    </w:pPr>
    <w:r>
      <w:t>FFIEC BSA/AML Examination Manual</w:t>
    </w:r>
    <w:r>
      <w:tab/>
    </w:r>
    <w:r w:rsidRPr="00475A9F">
      <w:rPr>
        <w:rStyle w:val="PageNumber"/>
      </w:rPr>
      <w:fldChar w:fldCharType="begin"/>
    </w:r>
    <w:r w:rsidRPr="00832698">
      <w:rPr>
        <w:rStyle w:val="PageNumber"/>
      </w:rPr>
      <w:instrText xml:space="preserve"> PAGE </w:instrText>
    </w:r>
    <w:r w:rsidRPr="00475A9F">
      <w:rPr>
        <w:rStyle w:val="PageNumber"/>
      </w:rPr>
      <w:fldChar w:fldCharType="separate"/>
    </w:r>
    <w:r>
      <w:rPr>
        <w:rStyle w:val="PageNumber"/>
      </w:rPr>
      <w:t>1</w:t>
    </w:r>
    <w:r w:rsidRPr="00475A9F">
      <w:rPr>
        <w:rStyle w:val="PageNumber"/>
      </w:rPr>
      <w:fldChar w:fldCharType="end"/>
    </w:r>
    <w:r>
      <w:rPr>
        <w:rStyle w:val="PageNumber"/>
      </w:rPr>
      <w:tab/>
    </w:r>
    <w:r w:rsidR="0012537B">
      <w:rPr>
        <w:rStyle w:val="PageNumber"/>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492E" w14:textId="77777777" w:rsidR="00E5622D" w:rsidRDefault="00E5622D">
      <w:r>
        <w:separator/>
      </w:r>
    </w:p>
  </w:footnote>
  <w:footnote w:type="continuationSeparator" w:id="0">
    <w:p w14:paraId="591C61B0" w14:textId="77777777" w:rsidR="00E5622D" w:rsidRDefault="00E5622D">
      <w:r>
        <w:continuationSeparator/>
      </w:r>
    </w:p>
  </w:footnote>
  <w:footnote w:type="continuationNotice" w:id="1">
    <w:p w14:paraId="191B100C" w14:textId="77777777" w:rsidR="00E5622D" w:rsidRDefault="00E5622D"/>
  </w:footnote>
  <w:footnote w:id="2">
    <w:p w14:paraId="74621A31" w14:textId="77777777" w:rsidR="006D6ACB" w:rsidRDefault="006D6ACB" w:rsidP="006D6AC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anchor="p-1010.6051010.605(m)" w:history="1">
        <w:r>
          <w:rPr>
            <w:rStyle w:val="Hyperlink"/>
            <w:rFonts w:ascii="Times New Roman" w:hAnsi="Times New Roman" w:cs="Times New Roman"/>
          </w:rPr>
          <w:t>31 CFR 1010.605(m).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0F45" w14:textId="2B436AD9" w:rsidR="005C474A" w:rsidRPr="00C23D7A" w:rsidRDefault="00942B8F" w:rsidP="009A7F59">
    <w:pPr>
      <w:pStyle w:val="Header-BSA-AML"/>
      <w:rPr>
        <w:sz w:val="24"/>
        <w:szCs w:val="24"/>
      </w:rPr>
    </w:pPr>
    <w:r>
      <w:rPr>
        <w:noProof/>
        <w:sz w:val="24"/>
        <w:szCs w:val="24"/>
      </w:rPr>
      <mc:AlternateContent>
        <mc:Choice Requires="wps">
          <w:drawing>
            <wp:anchor distT="0" distB="0" distL="114300" distR="114300" simplePos="0" relativeHeight="251659264" behindDoc="0" locked="0" layoutInCell="0" allowOverlap="1" wp14:anchorId="2CC6D88D" wp14:editId="05C0247D">
              <wp:simplePos x="0" y="0"/>
              <wp:positionH relativeFrom="page">
                <wp:posOffset>0</wp:posOffset>
              </wp:positionH>
              <wp:positionV relativeFrom="page">
                <wp:posOffset>190500</wp:posOffset>
              </wp:positionV>
              <wp:extent cx="7772400" cy="273050"/>
              <wp:effectExtent l="0" t="0" r="0" b="12700"/>
              <wp:wrapNone/>
              <wp:docPr id="1" name="MSIPCM5dd74c6e84fc699276b9f904" descr="{&quot;HashCode&quot;:3206881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7CBD6" w14:textId="3A3E7F03" w:rsidR="00942B8F" w:rsidRPr="00942B8F" w:rsidRDefault="00942B8F" w:rsidP="00942B8F">
                          <w:pPr>
                            <w:rPr>
                              <w:rFonts w:ascii="Calibri" w:hAnsi="Calibri" w:cs="Calibri"/>
                              <w:color w:val="000000"/>
                            </w:rPr>
                          </w:pPr>
                          <w:r w:rsidRPr="00942B8F">
                            <w:rPr>
                              <w:rFonts w:ascii="Calibri" w:hAnsi="Calibri" w:cs="Calibri"/>
                              <w:color w:val="000000"/>
                            </w:rPr>
                            <w:t>NONCONFIDENTIAL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CC6D88D" id="_x0000_t202" coordsize="21600,21600" o:spt="202" path="m,l,21600r21600,l21600,xe">
              <v:stroke joinstyle="miter"/>
              <v:path gradientshapeok="t" o:connecttype="rect"/>
            </v:shapetype>
            <v:shape id="MSIPCM5dd74c6e84fc699276b9f904" o:spid="_x0000_s1026" type="#_x0000_t202" alt="{&quot;HashCode&quot;:320688167,&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fill o:detectmouseclick="t"/>
              <v:textbox inset="20pt,0,,0">
                <w:txbxContent>
                  <w:p w14:paraId="2127CBD6" w14:textId="3A3E7F03" w:rsidR="00942B8F" w:rsidRPr="00942B8F" w:rsidRDefault="00942B8F" w:rsidP="00942B8F">
                    <w:pPr>
                      <w:rPr>
                        <w:rFonts w:ascii="Calibri" w:hAnsi="Calibri" w:cs="Calibri"/>
                        <w:color w:val="000000"/>
                      </w:rPr>
                    </w:pPr>
                    <w:r w:rsidRPr="00942B8F">
                      <w:rPr>
                        <w:rFonts w:ascii="Calibri" w:hAnsi="Calibri" w:cs="Calibri"/>
                        <w:color w:val="000000"/>
                      </w:rPr>
                      <w:t>NONCONFIDENTIAL // EXTERNAL</w:t>
                    </w:r>
                  </w:p>
                </w:txbxContent>
              </v:textbox>
              <w10:wrap anchorx="page" anchory="page"/>
            </v:shape>
          </w:pict>
        </mc:Fallback>
      </mc:AlternateContent>
    </w:r>
    <w:r w:rsidR="007013E7">
      <w:rPr>
        <w:sz w:val="24"/>
        <w:szCs w:val="24"/>
      </w:rPr>
      <w:t>Due Diligence Programs for Private Banking Accounts E</w:t>
    </w:r>
    <w:r w:rsidR="005C474A">
      <w:rPr>
        <w:sz w:val="24"/>
        <w:szCs w:val="24"/>
      </w:rPr>
      <w:t>xamination and Testing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1D3"/>
    <w:multiLevelType w:val="hybridMultilevel"/>
    <w:tmpl w:val="E470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5195"/>
    <w:multiLevelType w:val="hybridMultilevel"/>
    <w:tmpl w:val="4328CF76"/>
    <w:lvl w:ilvl="0" w:tplc="8E469EB2">
      <w:start w:val="1"/>
      <w:numFmt w:val="bullet"/>
      <w:lvlText w:val=""/>
      <w:lvlJc w:val="left"/>
      <w:pPr>
        <w:ind w:left="720" w:hanging="360"/>
      </w:pPr>
      <w:rPr>
        <w:rFonts w:ascii="Symbol" w:hAnsi="Symbol" w:hint="default"/>
        <w:w w:val="10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3EEC"/>
    <w:multiLevelType w:val="multilevel"/>
    <w:tmpl w:val="2F02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C6150"/>
    <w:multiLevelType w:val="hybridMultilevel"/>
    <w:tmpl w:val="AD70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D3E94"/>
    <w:multiLevelType w:val="hybridMultilevel"/>
    <w:tmpl w:val="D7E8709C"/>
    <w:lvl w:ilvl="0" w:tplc="EC344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7357E"/>
    <w:multiLevelType w:val="hybridMultilevel"/>
    <w:tmpl w:val="6E68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638D"/>
    <w:multiLevelType w:val="hybridMultilevel"/>
    <w:tmpl w:val="D70A1158"/>
    <w:lvl w:ilvl="0" w:tplc="C7106A44">
      <w:numFmt w:val="bullet"/>
      <w:lvlText w:val=""/>
      <w:lvlJc w:val="left"/>
      <w:pPr>
        <w:ind w:left="1652" w:hanging="341"/>
      </w:pPr>
      <w:rPr>
        <w:rFonts w:ascii="Symbol" w:eastAsia="Symbol" w:hAnsi="Symbol" w:cs="Symbol" w:hint="default"/>
        <w:w w:val="100"/>
        <w:sz w:val="21"/>
        <w:szCs w:val="21"/>
        <w:lang w:val="en-GB" w:eastAsia="en-GB" w:bidi="en-GB"/>
      </w:rPr>
    </w:lvl>
    <w:lvl w:ilvl="1" w:tplc="2E8E4798">
      <w:numFmt w:val="bullet"/>
      <w:lvlText w:val="o"/>
      <w:lvlJc w:val="left"/>
      <w:pPr>
        <w:ind w:left="1992" w:hanging="341"/>
      </w:pPr>
      <w:rPr>
        <w:rFonts w:ascii="Courier New" w:eastAsia="Courier New" w:hAnsi="Courier New" w:cs="Courier New" w:hint="default"/>
        <w:w w:val="100"/>
        <w:sz w:val="21"/>
        <w:szCs w:val="21"/>
        <w:lang w:val="en-GB" w:eastAsia="en-GB" w:bidi="en-GB"/>
      </w:rPr>
    </w:lvl>
    <w:lvl w:ilvl="2" w:tplc="136A0FEA">
      <w:numFmt w:val="bullet"/>
      <w:lvlText w:val="•"/>
      <w:lvlJc w:val="left"/>
      <w:pPr>
        <w:ind w:left="2860" w:hanging="341"/>
      </w:pPr>
      <w:rPr>
        <w:lang w:val="en-GB" w:eastAsia="en-GB" w:bidi="en-GB"/>
      </w:rPr>
    </w:lvl>
    <w:lvl w:ilvl="3" w:tplc="CBAE5072">
      <w:numFmt w:val="bullet"/>
      <w:lvlText w:val="•"/>
      <w:lvlJc w:val="left"/>
      <w:pPr>
        <w:ind w:left="3721" w:hanging="341"/>
      </w:pPr>
      <w:rPr>
        <w:lang w:val="en-GB" w:eastAsia="en-GB" w:bidi="en-GB"/>
      </w:rPr>
    </w:lvl>
    <w:lvl w:ilvl="4" w:tplc="B99E65B0">
      <w:numFmt w:val="bullet"/>
      <w:lvlText w:val="•"/>
      <w:lvlJc w:val="left"/>
      <w:pPr>
        <w:ind w:left="4582" w:hanging="341"/>
      </w:pPr>
      <w:rPr>
        <w:lang w:val="en-GB" w:eastAsia="en-GB" w:bidi="en-GB"/>
      </w:rPr>
    </w:lvl>
    <w:lvl w:ilvl="5" w:tplc="94BC9248">
      <w:numFmt w:val="bullet"/>
      <w:lvlText w:val="•"/>
      <w:lvlJc w:val="left"/>
      <w:pPr>
        <w:ind w:left="5442" w:hanging="341"/>
      </w:pPr>
      <w:rPr>
        <w:lang w:val="en-GB" w:eastAsia="en-GB" w:bidi="en-GB"/>
      </w:rPr>
    </w:lvl>
    <w:lvl w:ilvl="6" w:tplc="3D16C408">
      <w:numFmt w:val="bullet"/>
      <w:lvlText w:val="•"/>
      <w:lvlJc w:val="left"/>
      <w:pPr>
        <w:ind w:left="6303" w:hanging="341"/>
      </w:pPr>
      <w:rPr>
        <w:lang w:val="en-GB" w:eastAsia="en-GB" w:bidi="en-GB"/>
      </w:rPr>
    </w:lvl>
    <w:lvl w:ilvl="7" w:tplc="E7E6060E">
      <w:numFmt w:val="bullet"/>
      <w:lvlText w:val="•"/>
      <w:lvlJc w:val="left"/>
      <w:pPr>
        <w:ind w:left="7164" w:hanging="341"/>
      </w:pPr>
      <w:rPr>
        <w:lang w:val="en-GB" w:eastAsia="en-GB" w:bidi="en-GB"/>
      </w:rPr>
    </w:lvl>
    <w:lvl w:ilvl="8" w:tplc="B78CEA56">
      <w:numFmt w:val="bullet"/>
      <w:lvlText w:val="•"/>
      <w:lvlJc w:val="left"/>
      <w:pPr>
        <w:ind w:left="8024" w:hanging="341"/>
      </w:pPr>
      <w:rPr>
        <w:lang w:val="en-GB" w:eastAsia="en-GB" w:bidi="en-GB"/>
      </w:rPr>
    </w:lvl>
  </w:abstractNum>
  <w:abstractNum w:abstractNumId="7" w15:restartNumberingAfterBreak="0">
    <w:nsid w:val="1BBB0CE3"/>
    <w:multiLevelType w:val="hybridMultilevel"/>
    <w:tmpl w:val="143CB688"/>
    <w:lvl w:ilvl="0" w:tplc="EC3448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9704A7"/>
    <w:multiLevelType w:val="hybridMultilevel"/>
    <w:tmpl w:val="6100B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C44C60"/>
    <w:multiLevelType w:val="multilevel"/>
    <w:tmpl w:val="8234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F7AB2"/>
    <w:multiLevelType w:val="hybridMultilevel"/>
    <w:tmpl w:val="C410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C075B"/>
    <w:multiLevelType w:val="hybridMultilevel"/>
    <w:tmpl w:val="1CF64FB0"/>
    <w:lvl w:ilvl="0" w:tplc="26342510">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02062"/>
    <w:multiLevelType w:val="hybridMultilevel"/>
    <w:tmpl w:val="1DD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41917"/>
    <w:multiLevelType w:val="hybridMultilevel"/>
    <w:tmpl w:val="7DE2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56268"/>
    <w:multiLevelType w:val="hybridMultilevel"/>
    <w:tmpl w:val="1406B2E4"/>
    <w:lvl w:ilvl="0" w:tplc="1068DFDA">
      <w:start w:val="1"/>
      <w:numFmt w:val="decimal"/>
      <w:lvlText w:val="%1."/>
      <w:lvlJc w:val="left"/>
      <w:pPr>
        <w:ind w:left="1440" w:hanging="360"/>
      </w:pPr>
      <w:rPr>
        <w:rFonts w:ascii="Times New Roman" w:hAnsi="Times New Roman" w:cs="Arial" w:hint="default"/>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8569EB"/>
    <w:multiLevelType w:val="hybridMultilevel"/>
    <w:tmpl w:val="6FEE6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CC740C"/>
    <w:multiLevelType w:val="hybridMultilevel"/>
    <w:tmpl w:val="6DC8FA14"/>
    <w:lvl w:ilvl="0" w:tplc="6C6AA4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E08F9"/>
    <w:multiLevelType w:val="multilevel"/>
    <w:tmpl w:val="F30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B20CB"/>
    <w:multiLevelType w:val="hybridMultilevel"/>
    <w:tmpl w:val="7FFA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60FAD"/>
    <w:multiLevelType w:val="multilevel"/>
    <w:tmpl w:val="08CC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8628F"/>
    <w:multiLevelType w:val="hybridMultilevel"/>
    <w:tmpl w:val="7D127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CE779B2"/>
    <w:multiLevelType w:val="multilevel"/>
    <w:tmpl w:val="EE3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921FF"/>
    <w:multiLevelType w:val="multilevel"/>
    <w:tmpl w:val="C8BE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47C19"/>
    <w:multiLevelType w:val="multilevel"/>
    <w:tmpl w:val="37F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506A07"/>
    <w:multiLevelType w:val="hybridMultilevel"/>
    <w:tmpl w:val="15247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3712109">
    <w:abstractNumId w:val="23"/>
  </w:num>
  <w:num w:numId="2" w16cid:durableId="1991132248">
    <w:abstractNumId w:val="22"/>
  </w:num>
  <w:num w:numId="3" w16cid:durableId="1950507045">
    <w:abstractNumId w:val="21"/>
  </w:num>
  <w:num w:numId="4" w16cid:durableId="151723489">
    <w:abstractNumId w:val="17"/>
  </w:num>
  <w:num w:numId="5" w16cid:durableId="1528835223">
    <w:abstractNumId w:val="19"/>
  </w:num>
  <w:num w:numId="6" w16cid:durableId="337586478">
    <w:abstractNumId w:val="9"/>
  </w:num>
  <w:num w:numId="7" w16cid:durableId="1514487908">
    <w:abstractNumId w:val="6"/>
  </w:num>
  <w:num w:numId="8" w16cid:durableId="1529642280">
    <w:abstractNumId w:val="0"/>
  </w:num>
  <w:num w:numId="9" w16cid:durableId="474178823">
    <w:abstractNumId w:val="18"/>
  </w:num>
  <w:num w:numId="10" w16cid:durableId="1558781563">
    <w:abstractNumId w:val="20"/>
  </w:num>
  <w:num w:numId="11" w16cid:durableId="1320384914">
    <w:abstractNumId w:val="16"/>
  </w:num>
  <w:num w:numId="12" w16cid:durableId="2020500706">
    <w:abstractNumId w:val="4"/>
  </w:num>
  <w:num w:numId="13" w16cid:durableId="1794791536">
    <w:abstractNumId w:val="7"/>
  </w:num>
  <w:num w:numId="14" w16cid:durableId="1252621471">
    <w:abstractNumId w:val="13"/>
  </w:num>
  <w:num w:numId="15" w16cid:durableId="596911003">
    <w:abstractNumId w:val="4"/>
  </w:num>
  <w:num w:numId="16" w16cid:durableId="698624596">
    <w:abstractNumId w:val="8"/>
  </w:num>
  <w:num w:numId="17" w16cid:durableId="1513183210">
    <w:abstractNumId w:val="2"/>
  </w:num>
  <w:num w:numId="18" w16cid:durableId="1541433322">
    <w:abstractNumId w:val="3"/>
  </w:num>
  <w:num w:numId="19" w16cid:durableId="1535193672">
    <w:abstractNumId w:val="10"/>
  </w:num>
  <w:num w:numId="20" w16cid:durableId="263416710">
    <w:abstractNumId w:val="12"/>
  </w:num>
  <w:num w:numId="21" w16cid:durableId="925071858">
    <w:abstractNumId w:val="11"/>
  </w:num>
  <w:num w:numId="22" w16cid:durableId="1958025679">
    <w:abstractNumId w:val="15"/>
  </w:num>
  <w:num w:numId="23" w16cid:durableId="1163427248">
    <w:abstractNumId w:val="24"/>
  </w:num>
  <w:num w:numId="24" w16cid:durableId="282464165">
    <w:abstractNumId w:val="14"/>
  </w:num>
  <w:num w:numId="25" w16cid:durableId="1209223685">
    <w:abstractNumId w:val="1"/>
  </w:num>
  <w:num w:numId="26" w16cid:durableId="155781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05"/>
    <w:rsid w:val="00001C47"/>
    <w:rsid w:val="000023CA"/>
    <w:rsid w:val="00002C7F"/>
    <w:rsid w:val="00003394"/>
    <w:rsid w:val="00003985"/>
    <w:rsid w:val="00005B51"/>
    <w:rsid w:val="00006AE0"/>
    <w:rsid w:val="00011100"/>
    <w:rsid w:val="00013FD7"/>
    <w:rsid w:val="00016233"/>
    <w:rsid w:val="00016C4B"/>
    <w:rsid w:val="0002258F"/>
    <w:rsid w:val="00023773"/>
    <w:rsid w:val="00023AEB"/>
    <w:rsid w:val="00025EDC"/>
    <w:rsid w:val="00026C76"/>
    <w:rsid w:val="00033097"/>
    <w:rsid w:val="000354F0"/>
    <w:rsid w:val="00036656"/>
    <w:rsid w:val="0004259D"/>
    <w:rsid w:val="00042D37"/>
    <w:rsid w:val="00042FC9"/>
    <w:rsid w:val="00045A06"/>
    <w:rsid w:val="00045CDB"/>
    <w:rsid w:val="0004723E"/>
    <w:rsid w:val="0004757A"/>
    <w:rsid w:val="000477DC"/>
    <w:rsid w:val="00051B90"/>
    <w:rsid w:val="0005231E"/>
    <w:rsid w:val="00053FC1"/>
    <w:rsid w:val="00054778"/>
    <w:rsid w:val="0005682D"/>
    <w:rsid w:val="000570B8"/>
    <w:rsid w:val="0006060F"/>
    <w:rsid w:val="00061FAB"/>
    <w:rsid w:val="00064466"/>
    <w:rsid w:val="00065709"/>
    <w:rsid w:val="00065B8C"/>
    <w:rsid w:val="000670B7"/>
    <w:rsid w:val="00070157"/>
    <w:rsid w:val="00071AF6"/>
    <w:rsid w:val="00071CAE"/>
    <w:rsid w:val="00072F04"/>
    <w:rsid w:val="00072F5B"/>
    <w:rsid w:val="00073873"/>
    <w:rsid w:val="000767B0"/>
    <w:rsid w:val="000771D4"/>
    <w:rsid w:val="00077B40"/>
    <w:rsid w:val="00082F35"/>
    <w:rsid w:val="0008704C"/>
    <w:rsid w:val="00090365"/>
    <w:rsid w:val="0009227F"/>
    <w:rsid w:val="0009377A"/>
    <w:rsid w:val="000948B0"/>
    <w:rsid w:val="00094CCD"/>
    <w:rsid w:val="000A0313"/>
    <w:rsid w:val="000A4A02"/>
    <w:rsid w:val="000A4B23"/>
    <w:rsid w:val="000A590F"/>
    <w:rsid w:val="000A6ADF"/>
    <w:rsid w:val="000B291C"/>
    <w:rsid w:val="000B3631"/>
    <w:rsid w:val="000B4EAE"/>
    <w:rsid w:val="000B4FAD"/>
    <w:rsid w:val="000B7005"/>
    <w:rsid w:val="000C0797"/>
    <w:rsid w:val="000C31FB"/>
    <w:rsid w:val="000C50E4"/>
    <w:rsid w:val="000C5ADB"/>
    <w:rsid w:val="000C5D0A"/>
    <w:rsid w:val="000C6BF1"/>
    <w:rsid w:val="000C6D6C"/>
    <w:rsid w:val="000C74F2"/>
    <w:rsid w:val="000D0361"/>
    <w:rsid w:val="000D1DD9"/>
    <w:rsid w:val="000D404D"/>
    <w:rsid w:val="000D421F"/>
    <w:rsid w:val="000D59DF"/>
    <w:rsid w:val="000D6891"/>
    <w:rsid w:val="000D7055"/>
    <w:rsid w:val="000D78AD"/>
    <w:rsid w:val="000E0D9D"/>
    <w:rsid w:val="000E1861"/>
    <w:rsid w:val="000E295B"/>
    <w:rsid w:val="000E3C24"/>
    <w:rsid w:val="000E5951"/>
    <w:rsid w:val="000F27FB"/>
    <w:rsid w:val="000F4A8D"/>
    <w:rsid w:val="000F4F08"/>
    <w:rsid w:val="000F5557"/>
    <w:rsid w:val="000F604D"/>
    <w:rsid w:val="00100B42"/>
    <w:rsid w:val="00102EAD"/>
    <w:rsid w:val="0011379D"/>
    <w:rsid w:val="001141CA"/>
    <w:rsid w:val="00117FFE"/>
    <w:rsid w:val="0012257F"/>
    <w:rsid w:val="001234BF"/>
    <w:rsid w:val="0012537B"/>
    <w:rsid w:val="00133E81"/>
    <w:rsid w:val="00135B24"/>
    <w:rsid w:val="001425DE"/>
    <w:rsid w:val="001446E0"/>
    <w:rsid w:val="00145A0A"/>
    <w:rsid w:val="00145FF6"/>
    <w:rsid w:val="00146303"/>
    <w:rsid w:val="00151DA2"/>
    <w:rsid w:val="0015423F"/>
    <w:rsid w:val="0016146C"/>
    <w:rsid w:val="001645F1"/>
    <w:rsid w:val="001720E5"/>
    <w:rsid w:val="00180DF8"/>
    <w:rsid w:val="001821F7"/>
    <w:rsid w:val="00183568"/>
    <w:rsid w:val="00183AB9"/>
    <w:rsid w:val="00183F8E"/>
    <w:rsid w:val="0018434D"/>
    <w:rsid w:val="0018531C"/>
    <w:rsid w:val="00187383"/>
    <w:rsid w:val="001875B5"/>
    <w:rsid w:val="00190404"/>
    <w:rsid w:val="00191764"/>
    <w:rsid w:val="00192CB6"/>
    <w:rsid w:val="001937FF"/>
    <w:rsid w:val="001938B4"/>
    <w:rsid w:val="001946C2"/>
    <w:rsid w:val="0019608B"/>
    <w:rsid w:val="00197D9D"/>
    <w:rsid w:val="001A1353"/>
    <w:rsid w:val="001A5625"/>
    <w:rsid w:val="001A6AB3"/>
    <w:rsid w:val="001B10F9"/>
    <w:rsid w:val="001B4E00"/>
    <w:rsid w:val="001B6041"/>
    <w:rsid w:val="001B7D5B"/>
    <w:rsid w:val="001C05E6"/>
    <w:rsid w:val="001C2774"/>
    <w:rsid w:val="001C2EA7"/>
    <w:rsid w:val="001C3042"/>
    <w:rsid w:val="001C41D5"/>
    <w:rsid w:val="001C4D5C"/>
    <w:rsid w:val="001C5843"/>
    <w:rsid w:val="001C62F2"/>
    <w:rsid w:val="001C7217"/>
    <w:rsid w:val="001C7861"/>
    <w:rsid w:val="001D12C3"/>
    <w:rsid w:val="001D2423"/>
    <w:rsid w:val="001D25D1"/>
    <w:rsid w:val="001D32EF"/>
    <w:rsid w:val="001D37F9"/>
    <w:rsid w:val="001D551C"/>
    <w:rsid w:val="001D5819"/>
    <w:rsid w:val="001E0ECE"/>
    <w:rsid w:val="001E3D16"/>
    <w:rsid w:val="001E50A8"/>
    <w:rsid w:val="001F04EE"/>
    <w:rsid w:val="001F0C03"/>
    <w:rsid w:val="001F235E"/>
    <w:rsid w:val="001F2C78"/>
    <w:rsid w:val="001F351A"/>
    <w:rsid w:val="001F3F7B"/>
    <w:rsid w:val="001F4E08"/>
    <w:rsid w:val="001F6652"/>
    <w:rsid w:val="00200CD3"/>
    <w:rsid w:val="00202833"/>
    <w:rsid w:val="00202DCF"/>
    <w:rsid w:val="002035AC"/>
    <w:rsid w:val="00203BE7"/>
    <w:rsid w:val="00203F6F"/>
    <w:rsid w:val="0020499C"/>
    <w:rsid w:val="002059F5"/>
    <w:rsid w:val="00206598"/>
    <w:rsid w:val="002065BA"/>
    <w:rsid w:val="00206FF8"/>
    <w:rsid w:val="002108D6"/>
    <w:rsid w:val="00212ADF"/>
    <w:rsid w:val="002135D5"/>
    <w:rsid w:val="002160D8"/>
    <w:rsid w:val="0021615D"/>
    <w:rsid w:val="00217277"/>
    <w:rsid w:val="002176B5"/>
    <w:rsid w:val="00223E56"/>
    <w:rsid w:val="002246B1"/>
    <w:rsid w:val="00226BDD"/>
    <w:rsid w:val="00227335"/>
    <w:rsid w:val="0022762F"/>
    <w:rsid w:val="00231279"/>
    <w:rsid w:val="00233560"/>
    <w:rsid w:val="0023456A"/>
    <w:rsid w:val="00234DED"/>
    <w:rsid w:val="00235278"/>
    <w:rsid w:val="00235872"/>
    <w:rsid w:val="00235CEF"/>
    <w:rsid w:val="002418B8"/>
    <w:rsid w:val="002438D7"/>
    <w:rsid w:val="00244F7F"/>
    <w:rsid w:val="002451B9"/>
    <w:rsid w:val="002454FD"/>
    <w:rsid w:val="002468AC"/>
    <w:rsid w:val="0025426F"/>
    <w:rsid w:val="002562DC"/>
    <w:rsid w:val="002563CA"/>
    <w:rsid w:val="00257088"/>
    <w:rsid w:val="00260729"/>
    <w:rsid w:val="00264106"/>
    <w:rsid w:val="002645F4"/>
    <w:rsid w:val="0026691B"/>
    <w:rsid w:val="002670DB"/>
    <w:rsid w:val="00270ED2"/>
    <w:rsid w:val="0027140E"/>
    <w:rsid w:val="00273045"/>
    <w:rsid w:val="002730EB"/>
    <w:rsid w:val="00273E9D"/>
    <w:rsid w:val="00275A2D"/>
    <w:rsid w:val="00276BA6"/>
    <w:rsid w:val="00277D52"/>
    <w:rsid w:val="00280015"/>
    <w:rsid w:val="00281277"/>
    <w:rsid w:val="00282656"/>
    <w:rsid w:val="0028463A"/>
    <w:rsid w:val="0028516D"/>
    <w:rsid w:val="0029012A"/>
    <w:rsid w:val="002904F9"/>
    <w:rsid w:val="00290B37"/>
    <w:rsid w:val="002928DA"/>
    <w:rsid w:val="002943F3"/>
    <w:rsid w:val="00294591"/>
    <w:rsid w:val="00294A73"/>
    <w:rsid w:val="00295004"/>
    <w:rsid w:val="002A0386"/>
    <w:rsid w:val="002A1079"/>
    <w:rsid w:val="002A2A39"/>
    <w:rsid w:val="002A2C69"/>
    <w:rsid w:val="002A44E6"/>
    <w:rsid w:val="002A4684"/>
    <w:rsid w:val="002A5B85"/>
    <w:rsid w:val="002B3EF0"/>
    <w:rsid w:val="002B4F9F"/>
    <w:rsid w:val="002B5947"/>
    <w:rsid w:val="002B72E4"/>
    <w:rsid w:val="002C0F9F"/>
    <w:rsid w:val="002C1418"/>
    <w:rsid w:val="002C6845"/>
    <w:rsid w:val="002C7759"/>
    <w:rsid w:val="002C7DC1"/>
    <w:rsid w:val="002D1783"/>
    <w:rsid w:val="002D1F2A"/>
    <w:rsid w:val="002D3F83"/>
    <w:rsid w:val="002D4884"/>
    <w:rsid w:val="002D5287"/>
    <w:rsid w:val="002D5F23"/>
    <w:rsid w:val="002E1BE9"/>
    <w:rsid w:val="002E2CD6"/>
    <w:rsid w:val="002E3D92"/>
    <w:rsid w:val="002E4348"/>
    <w:rsid w:val="002E466D"/>
    <w:rsid w:val="002F00C1"/>
    <w:rsid w:val="002F0DA0"/>
    <w:rsid w:val="002F1844"/>
    <w:rsid w:val="002F33E9"/>
    <w:rsid w:val="0030035B"/>
    <w:rsid w:val="00305B4B"/>
    <w:rsid w:val="00311EA3"/>
    <w:rsid w:val="0031530D"/>
    <w:rsid w:val="00317C3A"/>
    <w:rsid w:val="00320110"/>
    <w:rsid w:val="003207DF"/>
    <w:rsid w:val="003212E5"/>
    <w:rsid w:val="00322E20"/>
    <w:rsid w:val="003232D0"/>
    <w:rsid w:val="00325D53"/>
    <w:rsid w:val="003273F7"/>
    <w:rsid w:val="003274C4"/>
    <w:rsid w:val="00327532"/>
    <w:rsid w:val="00330705"/>
    <w:rsid w:val="0033084A"/>
    <w:rsid w:val="00332151"/>
    <w:rsid w:val="0033262D"/>
    <w:rsid w:val="003326A4"/>
    <w:rsid w:val="00332F32"/>
    <w:rsid w:val="0033449D"/>
    <w:rsid w:val="003351FE"/>
    <w:rsid w:val="0033556C"/>
    <w:rsid w:val="003361EB"/>
    <w:rsid w:val="00340DF4"/>
    <w:rsid w:val="00341D5C"/>
    <w:rsid w:val="00343EA5"/>
    <w:rsid w:val="00345FFC"/>
    <w:rsid w:val="003467D5"/>
    <w:rsid w:val="0034688F"/>
    <w:rsid w:val="0034726A"/>
    <w:rsid w:val="003524F9"/>
    <w:rsid w:val="003529C0"/>
    <w:rsid w:val="003531BD"/>
    <w:rsid w:val="00353954"/>
    <w:rsid w:val="003546C3"/>
    <w:rsid w:val="0036202D"/>
    <w:rsid w:val="00362343"/>
    <w:rsid w:val="0036394D"/>
    <w:rsid w:val="00364D77"/>
    <w:rsid w:val="00365485"/>
    <w:rsid w:val="003670AC"/>
    <w:rsid w:val="00367995"/>
    <w:rsid w:val="00372791"/>
    <w:rsid w:val="0037401D"/>
    <w:rsid w:val="00376FF4"/>
    <w:rsid w:val="00380C46"/>
    <w:rsid w:val="00382F16"/>
    <w:rsid w:val="00383BE9"/>
    <w:rsid w:val="003916BF"/>
    <w:rsid w:val="00391E18"/>
    <w:rsid w:val="00392F1B"/>
    <w:rsid w:val="00396032"/>
    <w:rsid w:val="003A134D"/>
    <w:rsid w:val="003A2AA6"/>
    <w:rsid w:val="003A4BC9"/>
    <w:rsid w:val="003A4D11"/>
    <w:rsid w:val="003A6852"/>
    <w:rsid w:val="003A69C6"/>
    <w:rsid w:val="003B3309"/>
    <w:rsid w:val="003B4C66"/>
    <w:rsid w:val="003B4CC0"/>
    <w:rsid w:val="003B6901"/>
    <w:rsid w:val="003C0354"/>
    <w:rsid w:val="003C1A65"/>
    <w:rsid w:val="003C1D64"/>
    <w:rsid w:val="003C3095"/>
    <w:rsid w:val="003C4FC4"/>
    <w:rsid w:val="003C5B17"/>
    <w:rsid w:val="003C6D83"/>
    <w:rsid w:val="003C7A6C"/>
    <w:rsid w:val="003D0287"/>
    <w:rsid w:val="003D49C1"/>
    <w:rsid w:val="003D547A"/>
    <w:rsid w:val="003D582B"/>
    <w:rsid w:val="003E0E46"/>
    <w:rsid w:val="003E4D19"/>
    <w:rsid w:val="003E5C31"/>
    <w:rsid w:val="003E6372"/>
    <w:rsid w:val="003E78BE"/>
    <w:rsid w:val="003E7F08"/>
    <w:rsid w:val="003F066E"/>
    <w:rsid w:val="003F0A84"/>
    <w:rsid w:val="003F6909"/>
    <w:rsid w:val="003F6AD0"/>
    <w:rsid w:val="003F6DC7"/>
    <w:rsid w:val="00400B03"/>
    <w:rsid w:val="00400EC9"/>
    <w:rsid w:val="0040555C"/>
    <w:rsid w:val="004073BC"/>
    <w:rsid w:val="00410BB5"/>
    <w:rsid w:val="00414309"/>
    <w:rsid w:val="004152E8"/>
    <w:rsid w:val="004164C7"/>
    <w:rsid w:val="00421ECD"/>
    <w:rsid w:val="004225E5"/>
    <w:rsid w:val="004229E1"/>
    <w:rsid w:val="004258A1"/>
    <w:rsid w:val="00425ACC"/>
    <w:rsid w:val="00426598"/>
    <w:rsid w:val="00432A2C"/>
    <w:rsid w:val="00437611"/>
    <w:rsid w:val="00437DD1"/>
    <w:rsid w:val="00437FA8"/>
    <w:rsid w:val="00440CC7"/>
    <w:rsid w:val="00440ED0"/>
    <w:rsid w:val="00441329"/>
    <w:rsid w:val="004454EE"/>
    <w:rsid w:val="00446A0F"/>
    <w:rsid w:val="00450981"/>
    <w:rsid w:val="00451290"/>
    <w:rsid w:val="004535B9"/>
    <w:rsid w:val="004547A1"/>
    <w:rsid w:val="0045651D"/>
    <w:rsid w:val="00456862"/>
    <w:rsid w:val="00460555"/>
    <w:rsid w:val="004607C0"/>
    <w:rsid w:val="00466C68"/>
    <w:rsid w:val="00470074"/>
    <w:rsid w:val="00471691"/>
    <w:rsid w:val="00472827"/>
    <w:rsid w:val="0047405F"/>
    <w:rsid w:val="00474062"/>
    <w:rsid w:val="004760E1"/>
    <w:rsid w:val="00480ED0"/>
    <w:rsid w:val="004811DC"/>
    <w:rsid w:val="00483101"/>
    <w:rsid w:val="00484516"/>
    <w:rsid w:val="004858DA"/>
    <w:rsid w:val="00486A71"/>
    <w:rsid w:val="00487E0A"/>
    <w:rsid w:val="0049280D"/>
    <w:rsid w:val="00493A1A"/>
    <w:rsid w:val="0049477C"/>
    <w:rsid w:val="00497895"/>
    <w:rsid w:val="00497EB7"/>
    <w:rsid w:val="004A0D22"/>
    <w:rsid w:val="004A193C"/>
    <w:rsid w:val="004A1BAF"/>
    <w:rsid w:val="004A1E01"/>
    <w:rsid w:val="004A230E"/>
    <w:rsid w:val="004A3231"/>
    <w:rsid w:val="004A35A3"/>
    <w:rsid w:val="004A3BBF"/>
    <w:rsid w:val="004A5520"/>
    <w:rsid w:val="004A67EB"/>
    <w:rsid w:val="004A704F"/>
    <w:rsid w:val="004B7317"/>
    <w:rsid w:val="004B76F0"/>
    <w:rsid w:val="004C47F0"/>
    <w:rsid w:val="004C6393"/>
    <w:rsid w:val="004C64C0"/>
    <w:rsid w:val="004C6C62"/>
    <w:rsid w:val="004C73D8"/>
    <w:rsid w:val="004D0312"/>
    <w:rsid w:val="004D1BE1"/>
    <w:rsid w:val="004D4C7D"/>
    <w:rsid w:val="004D4FDE"/>
    <w:rsid w:val="004D58F5"/>
    <w:rsid w:val="004D6140"/>
    <w:rsid w:val="004D6586"/>
    <w:rsid w:val="004D6FBE"/>
    <w:rsid w:val="004D7F47"/>
    <w:rsid w:val="004E15EF"/>
    <w:rsid w:val="004E2E0A"/>
    <w:rsid w:val="004E489F"/>
    <w:rsid w:val="004E4946"/>
    <w:rsid w:val="004E533C"/>
    <w:rsid w:val="004F385F"/>
    <w:rsid w:val="004F4117"/>
    <w:rsid w:val="004F5543"/>
    <w:rsid w:val="004F5B7F"/>
    <w:rsid w:val="004F6382"/>
    <w:rsid w:val="004F6EB2"/>
    <w:rsid w:val="00501CA6"/>
    <w:rsid w:val="00504408"/>
    <w:rsid w:val="0050575E"/>
    <w:rsid w:val="00506A3C"/>
    <w:rsid w:val="00511101"/>
    <w:rsid w:val="00511179"/>
    <w:rsid w:val="00511920"/>
    <w:rsid w:val="00512F6F"/>
    <w:rsid w:val="00514562"/>
    <w:rsid w:val="00516D7D"/>
    <w:rsid w:val="0051773A"/>
    <w:rsid w:val="005229F8"/>
    <w:rsid w:val="00522B25"/>
    <w:rsid w:val="005238D4"/>
    <w:rsid w:val="0052652D"/>
    <w:rsid w:val="0053460D"/>
    <w:rsid w:val="00534C80"/>
    <w:rsid w:val="00534F13"/>
    <w:rsid w:val="00540977"/>
    <w:rsid w:val="0054124A"/>
    <w:rsid w:val="00541CA4"/>
    <w:rsid w:val="00541E56"/>
    <w:rsid w:val="00545472"/>
    <w:rsid w:val="005458D9"/>
    <w:rsid w:val="00550042"/>
    <w:rsid w:val="00550E50"/>
    <w:rsid w:val="00553A3B"/>
    <w:rsid w:val="005571F3"/>
    <w:rsid w:val="00557FC9"/>
    <w:rsid w:val="00561F4C"/>
    <w:rsid w:val="0056400A"/>
    <w:rsid w:val="00565198"/>
    <w:rsid w:val="00566DDF"/>
    <w:rsid w:val="005671E0"/>
    <w:rsid w:val="005673EE"/>
    <w:rsid w:val="00567D82"/>
    <w:rsid w:val="00570363"/>
    <w:rsid w:val="00571989"/>
    <w:rsid w:val="005734FC"/>
    <w:rsid w:val="00573892"/>
    <w:rsid w:val="00573A59"/>
    <w:rsid w:val="00576B5D"/>
    <w:rsid w:val="0058058D"/>
    <w:rsid w:val="00580C7C"/>
    <w:rsid w:val="00580DCE"/>
    <w:rsid w:val="00581095"/>
    <w:rsid w:val="0058264B"/>
    <w:rsid w:val="005830E0"/>
    <w:rsid w:val="00584260"/>
    <w:rsid w:val="0058618F"/>
    <w:rsid w:val="005865B2"/>
    <w:rsid w:val="00587487"/>
    <w:rsid w:val="00593AD9"/>
    <w:rsid w:val="00595BF9"/>
    <w:rsid w:val="00596444"/>
    <w:rsid w:val="005A18A7"/>
    <w:rsid w:val="005A3E00"/>
    <w:rsid w:val="005A7A6C"/>
    <w:rsid w:val="005A7C74"/>
    <w:rsid w:val="005B04B6"/>
    <w:rsid w:val="005B45EE"/>
    <w:rsid w:val="005B69D8"/>
    <w:rsid w:val="005C1B1E"/>
    <w:rsid w:val="005C43CA"/>
    <w:rsid w:val="005C474A"/>
    <w:rsid w:val="005C6432"/>
    <w:rsid w:val="005C6571"/>
    <w:rsid w:val="005C6C91"/>
    <w:rsid w:val="005C6F10"/>
    <w:rsid w:val="005D007A"/>
    <w:rsid w:val="005D1681"/>
    <w:rsid w:val="005D1CDA"/>
    <w:rsid w:val="005D1D7B"/>
    <w:rsid w:val="005D3491"/>
    <w:rsid w:val="005D39FB"/>
    <w:rsid w:val="005D5612"/>
    <w:rsid w:val="005D5929"/>
    <w:rsid w:val="005D6AD1"/>
    <w:rsid w:val="005D6DAC"/>
    <w:rsid w:val="005D73C4"/>
    <w:rsid w:val="005E2233"/>
    <w:rsid w:val="005E27EC"/>
    <w:rsid w:val="005E6C49"/>
    <w:rsid w:val="005F265E"/>
    <w:rsid w:val="005F29DF"/>
    <w:rsid w:val="005F2EEF"/>
    <w:rsid w:val="005F30D2"/>
    <w:rsid w:val="005F4D9C"/>
    <w:rsid w:val="00601A5B"/>
    <w:rsid w:val="00605FE2"/>
    <w:rsid w:val="00607596"/>
    <w:rsid w:val="00607E1E"/>
    <w:rsid w:val="0061236C"/>
    <w:rsid w:val="00613F06"/>
    <w:rsid w:val="00615BC7"/>
    <w:rsid w:val="00616E13"/>
    <w:rsid w:val="006208AA"/>
    <w:rsid w:val="0062173E"/>
    <w:rsid w:val="006236E7"/>
    <w:rsid w:val="00623FAA"/>
    <w:rsid w:val="006244DF"/>
    <w:rsid w:val="006253F2"/>
    <w:rsid w:val="00625F26"/>
    <w:rsid w:val="00627F54"/>
    <w:rsid w:val="006305ED"/>
    <w:rsid w:val="0063121B"/>
    <w:rsid w:val="00632481"/>
    <w:rsid w:val="00633919"/>
    <w:rsid w:val="0063536C"/>
    <w:rsid w:val="00636DEB"/>
    <w:rsid w:val="00637392"/>
    <w:rsid w:val="0064002F"/>
    <w:rsid w:val="006414CE"/>
    <w:rsid w:val="006425E8"/>
    <w:rsid w:val="00644E22"/>
    <w:rsid w:val="00645CE2"/>
    <w:rsid w:val="00646A92"/>
    <w:rsid w:val="0064713E"/>
    <w:rsid w:val="00647AD0"/>
    <w:rsid w:val="00647D97"/>
    <w:rsid w:val="006504EE"/>
    <w:rsid w:val="006524E2"/>
    <w:rsid w:val="00652637"/>
    <w:rsid w:val="006540C1"/>
    <w:rsid w:val="006562D6"/>
    <w:rsid w:val="00657B38"/>
    <w:rsid w:val="00657C2F"/>
    <w:rsid w:val="006613A8"/>
    <w:rsid w:val="00663C4E"/>
    <w:rsid w:val="00664671"/>
    <w:rsid w:val="00664796"/>
    <w:rsid w:val="0066552F"/>
    <w:rsid w:val="00665E01"/>
    <w:rsid w:val="00666A7B"/>
    <w:rsid w:val="00672271"/>
    <w:rsid w:val="00672892"/>
    <w:rsid w:val="00673210"/>
    <w:rsid w:val="00673FDE"/>
    <w:rsid w:val="006771F4"/>
    <w:rsid w:val="00682095"/>
    <w:rsid w:val="0068341A"/>
    <w:rsid w:val="00684055"/>
    <w:rsid w:val="00684406"/>
    <w:rsid w:val="00684977"/>
    <w:rsid w:val="0069119B"/>
    <w:rsid w:val="00693441"/>
    <w:rsid w:val="00693B3E"/>
    <w:rsid w:val="00694FB0"/>
    <w:rsid w:val="006A017F"/>
    <w:rsid w:val="006A6F64"/>
    <w:rsid w:val="006A7F41"/>
    <w:rsid w:val="006A7F46"/>
    <w:rsid w:val="006B0C53"/>
    <w:rsid w:val="006B242A"/>
    <w:rsid w:val="006B2E47"/>
    <w:rsid w:val="006B4AE4"/>
    <w:rsid w:val="006B4E9B"/>
    <w:rsid w:val="006B5177"/>
    <w:rsid w:val="006C2CC8"/>
    <w:rsid w:val="006C308B"/>
    <w:rsid w:val="006C508B"/>
    <w:rsid w:val="006C532D"/>
    <w:rsid w:val="006C659A"/>
    <w:rsid w:val="006C7FF7"/>
    <w:rsid w:val="006D002F"/>
    <w:rsid w:val="006D012B"/>
    <w:rsid w:val="006D24FD"/>
    <w:rsid w:val="006D2D06"/>
    <w:rsid w:val="006D4FB3"/>
    <w:rsid w:val="006D6ACB"/>
    <w:rsid w:val="006E04B1"/>
    <w:rsid w:val="006E41AA"/>
    <w:rsid w:val="006E51DE"/>
    <w:rsid w:val="006E6C51"/>
    <w:rsid w:val="006F0A22"/>
    <w:rsid w:val="006F261D"/>
    <w:rsid w:val="006F4E4E"/>
    <w:rsid w:val="006F5D1E"/>
    <w:rsid w:val="006F6DAF"/>
    <w:rsid w:val="006F788F"/>
    <w:rsid w:val="006F7AA6"/>
    <w:rsid w:val="00701178"/>
    <w:rsid w:val="007013E7"/>
    <w:rsid w:val="00701890"/>
    <w:rsid w:val="00704D26"/>
    <w:rsid w:val="00706FE4"/>
    <w:rsid w:val="007100A9"/>
    <w:rsid w:val="00711034"/>
    <w:rsid w:val="00712192"/>
    <w:rsid w:val="0071375F"/>
    <w:rsid w:val="00713F52"/>
    <w:rsid w:val="00720608"/>
    <w:rsid w:val="00721767"/>
    <w:rsid w:val="00721D3D"/>
    <w:rsid w:val="00722220"/>
    <w:rsid w:val="0072273A"/>
    <w:rsid w:val="007301C7"/>
    <w:rsid w:val="007364C4"/>
    <w:rsid w:val="00736838"/>
    <w:rsid w:val="007373C5"/>
    <w:rsid w:val="0073773B"/>
    <w:rsid w:val="007418AA"/>
    <w:rsid w:val="007441B9"/>
    <w:rsid w:val="00750515"/>
    <w:rsid w:val="007511B4"/>
    <w:rsid w:val="0075272E"/>
    <w:rsid w:val="0075300E"/>
    <w:rsid w:val="0075558D"/>
    <w:rsid w:val="007605E9"/>
    <w:rsid w:val="00760AF3"/>
    <w:rsid w:val="00761A37"/>
    <w:rsid w:val="0076698C"/>
    <w:rsid w:val="00766A85"/>
    <w:rsid w:val="00771FFB"/>
    <w:rsid w:val="0077333F"/>
    <w:rsid w:val="007748BD"/>
    <w:rsid w:val="00777596"/>
    <w:rsid w:val="0077773E"/>
    <w:rsid w:val="007779AE"/>
    <w:rsid w:val="007818F3"/>
    <w:rsid w:val="00781BB5"/>
    <w:rsid w:val="007821D1"/>
    <w:rsid w:val="007824C8"/>
    <w:rsid w:val="00782682"/>
    <w:rsid w:val="00784C3F"/>
    <w:rsid w:val="00785B7F"/>
    <w:rsid w:val="007865E1"/>
    <w:rsid w:val="007871A9"/>
    <w:rsid w:val="00793F31"/>
    <w:rsid w:val="0079400E"/>
    <w:rsid w:val="00794491"/>
    <w:rsid w:val="007952F6"/>
    <w:rsid w:val="007A0E12"/>
    <w:rsid w:val="007A5141"/>
    <w:rsid w:val="007A6B6C"/>
    <w:rsid w:val="007A6F74"/>
    <w:rsid w:val="007A7D00"/>
    <w:rsid w:val="007B2FA8"/>
    <w:rsid w:val="007B35DF"/>
    <w:rsid w:val="007B4B13"/>
    <w:rsid w:val="007B4CCB"/>
    <w:rsid w:val="007B5B9F"/>
    <w:rsid w:val="007B5F12"/>
    <w:rsid w:val="007B7023"/>
    <w:rsid w:val="007B7378"/>
    <w:rsid w:val="007C19C6"/>
    <w:rsid w:val="007C1D59"/>
    <w:rsid w:val="007C287A"/>
    <w:rsid w:val="007C4A17"/>
    <w:rsid w:val="007C7D3A"/>
    <w:rsid w:val="007D11A0"/>
    <w:rsid w:val="007D4550"/>
    <w:rsid w:val="007D6776"/>
    <w:rsid w:val="007E027C"/>
    <w:rsid w:val="007E0FE8"/>
    <w:rsid w:val="007E10EE"/>
    <w:rsid w:val="007E318B"/>
    <w:rsid w:val="007E340A"/>
    <w:rsid w:val="007F067C"/>
    <w:rsid w:val="007F0FF4"/>
    <w:rsid w:val="007F2A31"/>
    <w:rsid w:val="007F2DC3"/>
    <w:rsid w:val="007F40D6"/>
    <w:rsid w:val="007F5070"/>
    <w:rsid w:val="007F59C4"/>
    <w:rsid w:val="007F67A8"/>
    <w:rsid w:val="007F7299"/>
    <w:rsid w:val="00800ACE"/>
    <w:rsid w:val="008018C5"/>
    <w:rsid w:val="0080221C"/>
    <w:rsid w:val="00804409"/>
    <w:rsid w:val="00807A59"/>
    <w:rsid w:val="008103EB"/>
    <w:rsid w:val="00810A2F"/>
    <w:rsid w:val="00814082"/>
    <w:rsid w:val="008144B4"/>
    <w:rsid w:val="0081516C"/>
    <w:rsid w:val="00815CAF"/>
    <w:rsid w:val="00815F4B"/>
    <w:rsid w:val="00816EA8"/>
    <w:rsid w:val="00826283"/>
    <w:rsid w:val="008274DD"/>
    <w:rsid w:val="0083261D"/>
    <w:rsid w:val="00832950"/>
    <w:rsid w:val="00832FC4"/>
    <w:rsid w:val="008331E8"/>
    <w:rsid w:val="00836774"/>
    <w:rsid w:val="00836C29"/>
    <w:rsid w:val="00837D1E"/>
    <w:rsid w:val="008404F5"/>
    <w:rsid w:val="00843B5C"/>
    <w:rsid w:val="00843C57"/>
    <w:rsid w:val="008440A5"/>
    <w:rsid w:val="008458D8"/>
    <w:rsid w:val="00845DEF"/>
    <w:rsid w:val="00846821"/>
    <w:rsid w:val="00850B74"/>
    <w:rsid w:val="00851860"/>
    <w:rsid w:val="00851B42"/>
    <w:rsid w:val="00853741"/>
    <w:rsid w:val="00854355"/>
    <w:rsid w:val="00855C4B"/>
    <w:rsid w:val="00856389"/>
    <w:rsid w:val="00861C09"/>
    <w:rsid w:val="0086215B"/>
    <w:rsid w:val="008626A7"/>
    <w:rsid w:val="00862B34"/>
    <w:rsid w:val="008636F3"/>
    <w:rsid w:val="00864374"/>
    <w:rsid w:val="008646C2"/>
    <w:rsid w:val="0086530C"/>
    <w:rsid w:val="00865D8C"/>
    <w:rsid w:val="00866783"/>
    <w:rsid w:val="00866BB7"/>
    <w:rsid w:val="008672F5"/>
    <w:rsid w:val="00873A2D"/>
    <w:rsid w:val="00875629"/>
    <w:rsid w:val="008758B8"/>
    <w:rsid w:val="00876ACD"/>
    <w:rsid w:val="0088147C"/>
    <w:rsid w:val="00884181"/>
    <w:rsid w:val="00886E92"/>
    <w:rsid w:val="00887919"/>
    <w:rsid w:val="008942A7"/>
    <w:rsid w:val="008943EF"/>
    <w:rsid w:val="008947D8"/>
    <w:rsid w:val="008959BE"/>
    <w:rsid w:val="008971DE"/>
    <w:rsid w:val="008975C0"/>
    <w:rsid w:val="008A3A86"/>
    <w:rsid w:val="008A47B8"/>
    <w:rsid w:val="008A5505"/>
    <w:rsid w:val="008A66F7"/>
    <w:rsid w:val="008A67F5"/>
    <w:rsid w:val="008B1BA4"/>
    <w:rsid w:val="008B2AE0"/>
    <w:rsid w:val="008B443E"/>
    <w:rsid w:val="008B44ED"/>
    <w:rsid w:val="008B71A3"/>
    <w:rsid w:val="008C3912"/>
    <w:rsid w:val="008C3E0B"/>
    <w:rsid w:val="008C77BA"/>
    <w:rsid w:val="008D04B3"/>
    <w:rsid w:val="008D0B62"/>
    <w:rsid w:val="008D305D"/>
    <w:rsid w:val="008D344D"/>
    <w:rsid w:val="008D345B"/>
    <w:rsid w:val="008D3771"/>
    <w:rsid w:val="008D3F50"/>
    <w:rsid w:val="008D3FE3"/>
    <w:rsid w:val="008D41A1"/>
    <w:rsid w:val="008D455C"/>
    <w:rsid w:val="008D62FA"/>
    <w:rsid w:val="008D6A50"/>
    <w:rsid w:val="008E1C86"/>
    <w:rsid w:val="008E1E23"/>
    <w:rsid w:val="008E2B58"/>
    <w:rsid w:val="008E3308"/>
    <w:rsid w:val="008E37EB"/>
    <w:rsid w:val="008E6011"/>
    <w:rsid w:val="008E64DD"/>
    <w:rsid w:val="008E65D2"/>
    <w:rsid w:val="008E704F"/>
    <w:rsid w:val="008E707F"/>
    <w:rsid w:val="008E7647"/>
    <w:rsid w:val="008E7765"/>
    <w:rsid w:val="008E7BCF"/>
    <w:rsid w:val="008F01C3"/>
    <w:rsid w:val="008F1AB7"/>
    <w:rsid w:val="008F3AD0"/>
    <w:rsid w:val="008F4364"/>
    <w:rsid w:val="008F560B"/>
    <w:rsid w:val="008F57BE"/>
    <w:rsid w:val="008F6E7D"/>
    <w:rsid w:val="008F70E5"/>
    <w:rsid w:val="008F7EC8"/>
    <w:rsid w:val="00901A68"/>
    <w:rsid w:val="009029DB"/>
    <w:rsid w:val="009132F7"/>
    <w:rsid w:val="00916AD5"/>
    <w:rsid w:val="00920216"/>
    <w:rsid w:val="0092148D"/>
    <w:rsid w:val="009217DD"/>
    <w:rsid w:val="00921DD6"/>
    <w:rsid w:val="009266CE"/>
    <w:rsid w:val="00927864"/>
    <w:rsid w:val="009334E2"/>
    <w:rsid w:val="009341CC"/>
    <w:rsid w:val="00935BBC"/>
    <w:rsid w:val="00937B5A"/>
    <w:rsid w:val="0094221F"/>
    <w:rsid w:val="00942B8F"/>
    <w:rsid w:val="00943516"/>
    <w:rsid w:val="00943FAE"/>
    <w:rsid w:val="0094598D"/>
    <w:rsid w:val="00945A08"/>
    <w:rsid w:val="00946AAD"/>
    <w:rsid w:val="00950155"/>
    <w:rsid w:val="0095023D"/>
    <w:rsid w:val="00951682"/>
    <w:rsid w:val="00955820"/>
    <w:rsid w:val="00955BDA"/>
    <w:rsid w:val="009563DB"/>
    <w:rsid w:val="009625F4"/>
    <w:rsid w:val="009651E8"/>
    <w:rsid w:val="00965217"/>
    <w:rsid w:val="00966FC1"/>
    <w:rsid w:val="009676BA"/>
    <w:rsid w:val="00970DE1"/>
    <w:rsid w:val="00971B51"/>
    <w:rsid w:val="00971E63"/>
    <w:rsid w:val="00974602"/>
    <w:rsid w:val="009750A5"/>
    <w:rsid w:val="009809D5"/>
    <w:rsid w:val="00984AE2"/>
    <w:rsid w:val="00985422"/>
    <w:rsid w:val="00990048"/>
    <w:rsid w:val="00990C65"/>
    <w:rsid w:val="00990E1D"/>
    <w:rsid w:val="00990E22"/>
    <w:rsid w:val="0099249F"/>
    <w:rsid w:val="00992857"/>
    <w:rsid w:val="00992892"/>
    <w:rsid w:val="009934D7"/>
    <w:rsid w:val="0099391E"/>
    <w:rsid w:val="00993D39"/>
    <w:rsid w:val="00995D4A"/>
    <w:rsid w:val="009963A2"/>
    <w:rsid w:val="00997131"/>
    <w:rsid w:val="009A1CBB"/>
    <w:rsid w:val="009A30E3"/>
    <w:rsid w:val="009A485C"/>
    <w:rsid w:val="009A706F"/>
    <w:rsid w:val="009A7F59"/>
    <w:rsid w:val="009B179B"/>
    <w:rsid w:val="009B1827"/>
    <w:rsid w:val="009B1DA5"/>
    <w:rsid w:val="009B4B1C"/>
    <w:rsid w:val="009B547C"/>
    <w:rsid w:val="009B5D37"/>
    <w:rsid w:val="009C60E3"/>
    <w:rsid w:val="009C6E40"/>
    <w:rsid w:val="009C6FD8"/>
    <w:rsid w:val="009C742D"/>
    <w:rsid w:val="009C746A"/>
    <w:rsid w:val="009C7534"/>
    <w:rsid w:val="009C792C"/>
    <w:rsid w:val="009C7AFA"/>
    <w:rsid w:val="009D19EE"/>
    <w:rsid w:val="009D3D09"/>
    <w:rsid w:val="009D419E"/>
    <w:rsid w:val="009D481C"/>
    <w:rsid w:val="009D4DFA"/>
    <w:rsid w:val="009D60A0"/>
    <w:rsid w:val="009D6260"/>
    <w:rsid w:val="009E0A4F"/>
    <w:rsid w:val="009E1AA7"/>
    <w:rsid w:val="009E45DE"/>
    <w:rsid w:val="009E546D"/>
    <w:rsid w:val="009E65B6"/>
    <w:rsid w:val="009E7B76"/>
    <w:rsid w:val="009F01A6"/>
    <w:rsid w:val="009F0E28"/>
    <w:rsid w:val="009F2794"/>
    <w:rsid w:val="009F2B1C"/>
    <w:rsid w:val="009F52EC"/>
    <w:rsid w:val="00A0312E"/>
    <w:rsid w:val="00A04922"/>
    <w:rsid w:val="00A061C1"/>
    <w:rsid w:val="00A06F80"/>
    <w:rsid w:val="00A107EE"/>
    <w:rsid w:val="00A143F3"/>
    <w:rsid w:val="00A14839"/>
    <w:rsid w:val="00A15431"/>
    <w:rsid w:val="00A15807"/>
    <w:rsid w:val="00A15EB8"/>
    <w:rsid w:val="00A161E0"/>
    <w:rsid w:val="00A167B8"/>
    <w:rsid w:val="00A16B62"/>
    <w:rsid w:val="00A20161"/>
    <w:rsid w:val="00A2145D"/>
    <w:rsid w:val="00A21AEB"/>
    <w:rsid w:val="00A2242E"/>
    <w:rsid w:val="00A225B9"/>
    <w:rsid w:val="00A33DD8"/>
    <w:rsid w:val="00A34495"/>
    <w:rsid w:val="00A34CAD"/>
    <w:rsid w:val="00A37BF7"/>
    <w:rsid w:val="00A4082C"/>
    <w:rsid w:val="00A4113F"/>
    <w:rsid w:val="00A41688"/>
    <w:rsid w:val="00A422C7"/>
    <w:rsid w:val="00A42D24"/>
    <w:rsid w:val="00A43637"/>
    <w:rsid w:val="00A45F10"/>
    <w:rsid w:val="00A46F6C"/>
    <w:rsid w:val="00A50D14"/>
    <w:rsid w:val="00A533AD"/>
    <w:rsid w:val="00A542E8"/>
    <w:rsid w:val="00A55654"/>
    <w:rsid w:val="00A60694"/>
    <w:rsid w:val="00A6293B"/>
    <w:rsid w:val="00A656E4"/>
    <w:rsid w:val="00A66BCF"/>
    <w:rsid w:val="00A703BA"/>
    <w:rsid w:val="00A70D2F"/>
    <w:rsid w:val="00A71CCA"/>
    <w:rsid w:val="00A72B63"/>
    <w:rsid w:val="00A74D03"/>
    <w:rsid w:val="00A755C8"/>
    <w:rsid w:val="00A76768"/>
    <w:rsid w:val="00A76D52"/>
    <w:rsid w:val="00A81C86"/>
    <w:rsid w:val="00A82955"/>
    <w:rsid w:val="00A87474"/>
    <w:rsid w:val="00A904F3"/>
    <w:rsid w:val="00A91E52"/>
    <w:rsid w:val="00A92271"/>
    <w:rsid w:val="00A9240B"/>
    <w:rsid w:val="00A93049"/>
    <w:rsid w:val="00A93C62"/>
    <w:rsid w:val="00A9411B"/>
    <w:rsid w:val="00A97243"/>
    <w:rsid w:val="00AA4654"/>
    <w:rsid w:val="00AA59EB"/>
    <w:rsid w:val="00AA757B"/>
    <w:rsid w:val="00AB0440"/>
    <w:rsid w:val="00AB3928"/>
    <w:rsid w:val="00AB436B"/>
    <w:rsid w:val="00AB58D1"/>
    <w:rsid w:val="00AB5FA2"/>
    <w:rsid w:val="00AB6928"/>
    <w:rsid w:val="00AC34A4"/>
    <w:rsid w:val="00AC3D5A"/>
    <w:rsid w:val="00AC488F"/>
    <w:rsid w:val="00AC4D32"/>
    <w:rsid w:val="00AC77AA"/>
    <w:rsid w:val="00AD137C"/>
    <w:rsid w:val="00AD2F73"/>
    <w:rsid w:val="00AD34A5"/>
    <w:rsid w:val="00AD3C97"/>
    <w:rsid w:val="00AD54A5"/>
    <w:rsid w:val="00AD6FFB"/>
    <w:rsid w:val="00AE2429"/>
    <w:rsid w:val="00AE5280"/>
    <w:rsid w:val="00AE6020"/>
    <w:rsid w:val="00AE6122"/>
    <w:rsid w:val="00AE64FC"/>
    <w:rsid w:val="00AE7A7F"/>
    <w:rsid w:val="00AF1038"/>
    <w:rsid w:val="00AF133E"/>
    <w:rsid w:val="00AF47B4"/>
    <w:rsid w:val="00AF6000"/>
    <w:rsid w:val="00B007A3"/>
    <w:rsid w:val="00B00830"/>
    <w:rsid w:val="00B036FE"/>
    <w:rsid w:val="00B03B3C"/>
    <w:rsid w:val="00B04C22"/>
    <w:rsid w:val="00B05259"/>
    <w:rsid w:val="00B07A6A"/>
    <w:rsid w:val="00B07E6A"/>
    <w:rsid w:val="00B103B2"/>
    <w:rsid w:val="00B10AC0"/>
    <w:rsid w:val="00B132A2"/>
    <w:rsid w:val="00B14AF0"/>
    <w:rsid w:val="00B14FAD"/>
    <w:rsid w:val="00B1598E"/>
    <w:rsid w:val="00B15F86"/>
    <w:rsid w:val="00B179BD"/>
    <w:rsid w:val="00B204F4"/>
    <w:rsid w:val="00B2055C"/>
    <w:rsid w:val="00B21C2B"/>
    <w:rsid w:val="00B21CE8"/>
    <w:rsid w:val="00B23E90"/>
    <w:rsid w:val="00B2457D"/>
    <w:rsid w:val="00B2558C"/>
    <w:rsid w:val="00B2784D"/>
    <w:rsid w:val="00B31034"/>
    <w:rsid w:val="00B318B2"/>
    <w:rsid w:val="00B31E33"/>
    <w:rsid w:val="00B32DF0"/>
    <w:rsid w:val="00B37519"/>
    <w:rsid w:val="00B40461"/>
    <w:rsid w:val="00B40A30"/>
    <w:rsid w:val="00B44496"/>
    <w:rsid w:val="00B451C9"/>
    <w:rsid w:val="00B47C8D"/>
    <w:rsid w:val="00B502E2"/>
    <w:rsid w:val="00B51335"/>
    <w:rsid w:val="00B51352"/>
    <w:rsid w:val="00B543E7"/>
    <w:rsid w:val="00B562E6"/>
    <w:rsid w:val="00B57427"/>
    <w:rsid w:val="00B5752D"/>
    <w:rsid w:val="00B57682"/>
    <w:rsid w:val="00B5784F"/>
    <w:rsid w:val="00B57BAE"/>
    <w:rsid w:val="00B609C9"/>
    <w:rsid w:val="00B627F1"/>
    <w:rsid w:val="00B62F4F"/>
    <w:rsid w:val="00B638D4"/>
    <w:rsid w:val="00B639B2"/>
    <w:rsid w:val="00B67484"/>
    <w:rsid w:val="00B67902"/>
    <w:rsid w:val="00B70903"/>
    <w:rsid w:val="00B70A1F"/>
    <w:rsid w:val="00B73A97"/>
    <w:rsid w:val="00B75C25"/>
    <w:rsid w:val="00B764C5"/>
    <w:rsid w:val="00B766D0"/>
    <w:rsid w:val="00B77851"/>
    <w:rsid w:val="00B80378"/>
    <w:rsid w:val="00B816EC"/>
    <w:rsid w:val="00B8182F"/>
    <w:rsid w:val="00B8331A"/>
    <w:rsid w:val="00B83BD8"/>
    <w:rsid w:val="00B847E4"/>
    <w:rsid w:val="00B84F13"/>
    <w:rsid w:val="00B85910"/>
    <w:rsid w:val="00B87A58"/>
    <w:rsid w:val="00B91495"/>
    <w:rsid w:val="00B937EC"/>
    <w:rsid w:val="00B94BC1"/>
    <w:rsid w:val="00B96736"/>
    <w:rsid w:val="00B97677"/>
    <w:rsid w:val="00BA13F6"/>
    <w:rsid w:val="00BA202B"/>
    <w:rsid w:val="00BA305C"/>
    <w:rsid w:val="00BA3F7D"/>
    <w:rsid w:val="00BA3FCE"/>
    <w:rsid w:val="00BB0C57"/>
    <w:rsid w:val="00BB1496"/>
    <w:rsid w:val="00BB2999"/>
    <w:rsid w:val="00BB73EC"/>
    <w:rsid w:val="00BC08F7"/>
    <w:rsid w:val="00BC134D"/>
    <w:rsid w:val="00BC1729"/>
    <w:rsid w:val="00BC1D3E"/>
    <w:rsid w:val="00BC3B62"/>
    <w:rsid w:val="00BC5714"/>
    <w:rsid w:val="00BD0546"/>
    <w:rsid w:val="00BD53D3"/>
    <w:rsid w:val="00BE0CA4"/>
    <w:rsid w:val="00BE1B07"/>
    <w:rsid w:val="00BE2A87"/>
    <w:rsid w:val="00BE3C7F"/>
    <w:rsid w:val="00BE6203"/>
    <w:rsid w:val="00BE7413"/>
    <w:rsid w:val="00BE7762"/>
    <w:rsid w:val="00BF11F6"/>
    <w:rsid w:val="00BF30A2"/>
    <w:rsid w:val="00BF371D"/>
    <w:rsid w:val="00BF6602"/>
    <w:rsid w:val="00BF6D6C"/>
    <w:rsid w:val="00BF7CFC"/>
    <w:rsid w:val="00C00BD7"/>
    <w:rsid w:val="00C00DB3"/>
    <w:rsid w:val="00C04F91"/>
    <w:rsid w:val="00C058BB"/>
    <w:rsid w:val="00C119A9"/>
    <w:rsid w:val="00C11B75"/>
    <w:rsid w:val="00C12887"/>
    <w:rsid w:val="00C132E5"/>
    <w:rsid w:val="00C13569"/>
    <w:rsid w:val="00C14C4F"/>
    <w:rsid w:val="00C1544A"/>
    <w:rsid w:val="00C20F19"/>
    <w:rsid w:val="00C215FA"/>
    <w:rsid w:val="00C225BE"/>
    <w:rsid w:val="00C23226"/>
    <w:rsid w:val="00C23D7A"/>
    <w:rsid w:val="00C24A77"/>
    <w:rsid w:val="00C25646"/>
    <w:rsid w:val="00C25847"/>
    <w:rsid w:val="00C262E6"/>
    <w:rsid w:val="00C27DD4"/>
    <w:rsid w:val="00C308AD"/>
    <w:rsid w:val="00C330C6"/>
    <w:rsid w:val="00C34C4E"/>
    <w:rsid w:val="00C42508"/>
    <w:rsid w:val="00C44415"/>
    <w:rsid w:val="00C4495E"/>
    <w:rsid w:val="00C455F4"/>
    <w:rsid w:val="00C456CA"/>
    <w:rsid w:val="00C46EA7"/>
    <w:rsid w:val="00C47812"/>
    <w:rsid w:val="00C47A34"/>
    <w:rsid w:val="00C5202C"/>
    <w:rsid w:val="00C54AC2"/>
    <w:rsid w:val="00C56D4C"/>
    <w:rsid w:val="00C571CA"/>
    <w:rsid w:val="00C575FE"/>
    <w:rsid w:val="00C61B09"/>
    <w:rsid w:val="00C6281C"/>
    <w:rsid w:val="00C63279"/>
    <w:rsid w:val="00C6436B"/>
    <w:rsid w:val="00C66998"/>
    <w:rsid w:val="00C670DA"/>
    <w:rsid w:val="00C67366"/>
    <w:rsid w:val="00C7014E"/>
    <w:rsid w:val="00C70F58"/>
    <w:rsid w:val="00C74D94"/>
    <w:rsid w:val="00C76C2F"/>
    <w:rsid w:val="00C7721E"/>
    <w:rsid w:val="00C800DB"/>
    <w:rsid w:val="00C816B0"/>
    <w:rsid w:val="00C837A1"/>
    <w:rsid w:val="00C85C28"/>
    <w:rsid w:val="00C9058B"/>
    <w:rsid w:val="00C91B18"/>
    <w:rsid w:val="00C91C51"/>
    <w:rsid w:val="00C92CD3"/>
    <w:rsid w:val="00C948CB"/>
    <w:rsid w:val="00C94A50"/>
    <w:rsid w:val="00C95260"/>
    <w:rsid w:val="00C96B50"/>
    <w:rsid w:val="00C96BDD"/>
    <w:rsid w:val="00CA039C"/>
    <w:rsid w:val="00CA14B4"/>
    <w:rsid w:val="00CA419A"/>
    <w:rsid w:val="00CA6E4C"/>
    <w:rsid w:val="00CA7E57"/>
    <w:rsid w:val="00CB49FB"/>
    <w:rsid w:val="00CB5B25"/>
    <w:rsid w:val="00CC08B4"/>
    <w:rsid w:val="00CC0AE4"/>
    <w:rsid w:val="00CC314D"/>
    <w:rsid w:val="00CC6947"/>
    <w:rsid w:val="00CD3137"/>
    <w:rsid w:val="00CD3E01"/>
    <w:rsid w:val="00CD470D"/>
    <w:rsid w:val="00CE0DA0"/>
    <w:rsid w:val="00CE4B32"/>
    <w:rsid w:val="00CE4CFC"/>
    <w:rsid w:val="00CE51A9"/>
    <w:rsid w:val="00CE5CF8"/>
    <w:rsid w:val="00CE5E27"/>
    <w:rsid w:val="00CE6951"/>
    <w:rsid w:val="00CE6D71"/>
    <w:rsid w:val="00CF0002"/>
    <w:rsid w:val="00CF0022"/>
    <w:rsid w:val="00CF0380"/>
    <w:rsid w:val="00CF089F"/>
    <w:rsid w:val="00CF0D20"/>
    <w:rsid w:val="00CF0D8E"/>
    <w:rsid w:val="00CF25EC"/>
    <w:rsid w:val="00CF689F"/>
    <w:rsid w:val="00CF6919"/>
    <w:rsid w:val="00CF69CD"/>
    <w:rsid w:val="00CF7BD3"/>
    <w:rsid w:val="00D000C1"/>
    <w:rsid w:val="00D037ED"/>
    <w:rsid w:val="00D03AB0"/>
    <w:rsid w:val="00D03C22"/>
    <w:rsid w:val="00D05E0C"/>
    <w:rsid w:val="00D06A32"/>
    <w:rsid w:val="00D06C34"/>
    <w:rsid w:val="00D07218"/>
    <w:rsid w:val="00D106C4"/>
    <w:rsid w:val="00D10FEC"/>
    <w:rsid w:val="00D11EBA"/>
    <w:rsid w:val="00D14BBF"/>
    <w:rsid w:val="00D164CA"/>
    <w:rsid w:val="00D217B8"/>
    <w:rsid w:val="00D2247A"/>
    <w:rsid w:val="00D25AA2"/>
    <w:rsid w:val="00D26FE3"/>
    <w:rsid w:val="00D27CF7"/>
    <w:rsid w:val="00D323B6"/>
    <w:rsid w:val="00D332EF"/>
    <w:rsid w:val="00D3345E"/>
    <w:rsid w:val="00D3542A"/>
    <w:rsid w:val="00D355E7"/>
    <w:rsid w:val="00D36616"/>
    <w:rsid w:val="00D368D4"/>
    <w:rsid w:val="00D402CE"/>
    <w:rsid w:val="00D433CC"/>
    <w:rsid w:val="00D43D50"/>
    <w:rsid w:val="00D43FC7"/>
    <w:rsid w:val="00D44A4F"/>
    <w:rsid w:val="00D4525D"/>
    <w:rsid w:val="00D47090"/>
    <w:rsid w:val="00D51CC9"/>
    <w:rsid w:val="00D5521F"/>
    <w:rsid w:val="00D557F2"/>
    <w:rsid w:val="00D55959"/>
    <w:rsid w:val="00D569A1"/>
    <w:rsid w:val="00D574C9"/>
    <w:rsid w:val="00D57F8C"/>
    <w:rsid w:val="00D60A1A"/>
    <w:rsid w:val="00D62ACF"/>
    <w:rsid w:val="00D63ABB"/>
    <w:rsid w:val="00D65D8E"/>
    <w:rsid w:val="00D705ED"/>
    <w:rsid w:val="00D72E3D"/>
    <w:rsid w:val="00D7337D"/>
    <w:rsid w:val="00D73709"/>
    <w:rsid w:val="00D7431D"/>
    <w:rsid w:val="00D80877"/>
    <w:rsid w:val="00D80A5B"/>
    <w:rsid w:val="00D81998"/>
    <w:rsid w:val="00D8249D"/>
    <w:rsid w:val="00D829C2"/>
    <w:rsid w:val="00D83081"/>
    <w:rsid w:val="00D84502"/>
    <w:rsid w:val="00D84710"/>
    <w:rsid w:val="00D85921"/>
    <w:rsid w:val="00D85A04"/>
    <w:rsid w:val="00D927F6"/>
    <w:rsid w:val="00D9506B"/>
    <w:rsid w:val="00D95BC8"/>
    <w:rsid w:val="00DA04E3"/>
    <w:rsid w:val="00DA12F6"/>
    <w:rsid w:val="00DA1A60"/>
    <w:rsid w:val="00DA2081"/>
    <w:rsid w:val="00DA2F8A"/>
    <w:rsid w:val="00DA315D"/>
    <w:rsid w:val="00DA725C"/>
    <w:rsid w:val="00DA7F1B"/>
    <w:rsid w:val="00DB0D32"/>
    <w:rsid w:val="00DB1CC8"/>
    <w:rsid w:val="00DB2A96"/>
    <w:rsid w:val="00DB3113"/>
    <w:rsid w:val="00DB3183"/>
    <w:rsid w:val="00DB45DF"/>
    <w:rsid w:val="00DB51F8"/>
    <w:rsid w:val="00DB611F"/>
    <w:rsid w:val="00DB6FB9"/>
    <w:rsid w:val="00DB7047"/>
    <w:rsid w:val="00DC174B"/>
    <w:rsid w:val="00DC1C70"/>
    <w:rsid w:val="00DC3D4F"/>
    <w:rsid w:val="00DC5DFC"/>
    <w:rsid w:val="00DC6D7C"/>
    <w:rsid w:val="00DC6FC2"/>
    <w:rsid w:val="00DC702A"/>
    <w:rsid w:val="00DD003D"/>
    <w:rsid w:val="00DD0C45"/>
    <w:rsid w:val="00DD1C1C"/>
    <w:rsid w:val="00DD22C3"/>
    <w:rsid w:val="00DD4932"/>
    <w:rsid w:val="00DD6378"/>
    <w:rsid w:val="00DE1555"/>
    <w:rsid w:val="00DE1C83"/>
    <w:rsid w:val="00DE2057"/>
    <w:rsid w:val="00DE24FE"/>
    <w:rsid w:val="00DE466D"/>
    <w:rsid w:val="00DE500D"/>
    <w:rsid w:val="00DE5DDD"/>
    <w:rsid w:val="00DE6E12"/>
    <w:rsid w:val="00DE6EA8"/>
    <w:rsid w:val="00DE7C93"/>
    <w:rsid w:val="00DF0621"/>
    <w:rsid w:val="00DF29CB"/>
    <w:rsid w:val="00DF3911"/>
    <w:rsid w:val="00DF3F75"/>
    <w:rsid w:val="00DF525F"/>
    <w:rsid w:val="00DF5553"/>
    <w:rsid w:val="00DF6A3A"/>
    <w:rsid w:val="00DF739D"/>
    <w:rsid w:val="00DF7A9F"/>
    <w:rsid w:val="00E0235F"/>
    <w:rsid w:val="00E03C34"/>
    <w:rsid w:val="00E052A6"/>
    <w:rsid w:val="00E06A57"/>
    <w:rsid w:val="00E06ED8"/>
    <w:rsid w:val="00E072DF"/>
    <w:rsid w:val="00E07607"/>
    <w:rsid w:val="00E07680"/>
    <w:rsid w:val="00E07AF3"/>
    <w:rsid w:val="00E07E66"/>
    <w:rsid w:val="00E110FB"/>
    <w:rsid w:val="00E116A1"/>
    <w:rsid w:val="00E12948"/>
    <w:rsid w:val="00E1478E"/>
    <w:rsid w:val="00E151A2"/>
    <w:rsid w:val="00E21E9D"/>
    <w:rsid w:val="00E25265"/>
    <w:rsid w:val="00E25A9C"/>
    <w:rsid w:val="00E25F02"/>
    <w:rsid w:val="00E27AFE"/>
    <w:rsid w:val="00E27C20"/>
    <w:rsid w:val="00E30B2C"/>
    <w:rsid w:val="00E3232E"/>
    <w:rsid w:val="00E34623"/>
    <w:rsid w:val="00E34C7C"/>
    <w:rsid w:val="00E35ECF"/>
    <w:rsid w:val="00E3618D"/>
    <w:rsid w:val="00E36E38"/>
    <w:rsid w:val="00E3738D"/>
    <w:rsid w:val="00E37A7C"/>
    <w:rsid w:val="00E40507"/>
    <w:rsid w:val="00E40C05"/>
    <w:rsid w:val="00E40D5B"/>
    <w:rsid w:val="00E4127A"/>
    <w:rsid w:val="00E4280F"/>
    <w:rsid w:val="00E42CF4"/>
    <w:rsid w:val="00E43734"/>
    <w:rsid w:val="00E43FF2"/>
    <w:rsid w:val="00E44133"/>
    <w:rsid w:val="00E45064"/>
    <w:rsid w:val="00E46711"/>
    <w:rsid w:val="00E4775E"/>
    <w:rsid w:val="00E518E3"/>
    <w:rsid w:val="00E519C2"/>
    <w:rsid w:val="00E5371B"/>
    <w:rsid w:val="00E55161"/>
    <w:rsid w:val="00E560F5"/>
    <w:rsid w:val="00E5622D"/>
    <w:rsid w:val="00E62781"/>
    <w:rsid w:val="00E62E73"/>
    <w:rsid w:val="00E63A28"/>
    <w:rsid w:val="00E63CDC"/>
    <w:rsid w:val="00E640D0"/>
    <w:rsid w:val="00E64573"/>
    <w:rsid w:val="00E71628"/>
    <w:rsid w:val="00E7327D"/>
    <w:rsid w:val="00E74118"/>
    <w:rsid w:val="00E75C34"/>
    <w:rsid w:val="00E828E1"/>
    <w:rsid w:val="00E83F50"/>
    <w:rsid w:val="00E840C6"/>
    <w:rsid w:val="00E84D54"/>
    <w:rsid w:val="00E86C6F"/>
    <w:rsid w:val="00E877F9"/>
    <w:rsid w:val="00E9007A"/>
    <w:rsid w:val="00E90865"/>
    <w:rsid w:val="00E91F78"/>
    <w:rsid w:val="00E93200"/>
    <w:rsid w:val="00EA03E1"/>
    <w:rsid w:val="00EA1961"/>
    <w:rsid w:val="00EA1FA3"/>
    <w:rsid w:val="00EA2595"/>
    <w:rsid w:val="00EA346D"/>
    <w:rsid w:val="00EB4546"/>
    <w:rsid w:val="00EB660A"/>
    <w:rsid w:val="00EB6AEE"/>
    <w:rsid w:val="00EC0306"/>
    <w:rsid w:val="00EC0362"/>
    <w:rsid w:val="00EC0C9F"/>
    <w:rsid w:val="00EC1017"/>
    <w:rsid w:val="00EC1430"/>
    <w:rsid w:val="00EC3132"/>
    <w:rsid w:val="00EC3C24"/>
    <w:rsid w:val="00EC43D4"/>
    <w:rsid w:val="00EC4846"/>
    <w:rsid w:val="00EC7100"/>
    <w:rsid w:val="00ED1376"/>
    <w:rsid w:val="00ED17CE"/>
    <w:rsid w:val="00ED342F"/>
    <w:rsid w:val="00ED3C2A"/>
    <w:rsid w:val="00ED3D05"/>
    <w:rsid w:val="00ED4863"/>
    <w:rsid w:val="00ED4A7A"/>
    <w:rsid w:val="00ED63CC"/>
    <w:rsid w:val="00ED65CD"/>
    <w:rsid w:val="00ED66F6"/>
    <w:rsid w:val="00ED7F0E"/>
    <w:rsid w:val="00EE07C7"/>
    <w:rsid w:val="00EE21F9"/>
    <w:rsid w:val="00EE2949"/>
    <w:rsid w:val="00EE297E"/>
    <w:rsid w:val="00EE3EB4"/>
    <w:rsid w:val="00EE7C5F"/>
    <w:rsid w:val="00EF0778"/>
    <w:rsid w:val="00EF144E"/>
    <w:rsid w:val="00EF1A3E"/>
    <w:rsid w:val="00EF4E2C"/>
    <w:rsid w:val="00EF5434"/>
    <w:rsid w:val="00EF58A5"/>
    <w:rsid w:val="00EF628E"/>
    <w:rsid w:val="00EF62CA"/>
    <w:rsid w:val="00EF6B05"/>
    <w:rsid w:val="00F01BD8"/>
    <w:rsid w:val="00F03B74"/>
    <w:rsid w:val="00F03E41"/>
    <w:rsid w:val="00F03E75"/>
    <w:rsid w:val="00F041FE"/>
    <w:rsid w:val="00F04CE8"/>
    <w:rsid w:val="00F06783"/>
    <w:rsid w:val="00F06C65"/>
    <w:rsid w:val="00F0701C"/>
    <w:rsid w:val="00F1046E"/>
    <w:rsid w:val="00F10EF4"/>
    <w:rsid w:val="00F11523"/>
    <w:rsid w:val="00F14B74"/>
    <w:rsid w:val="00F15708"/>
    <w:rsid w:val="00F1674B"/>
    <w:rsid w:val="00F21529"/>
    <w:rsid w:val="00F23192"/>
    <w:rsid w:val="00F24C7B"/>
    <w:rsid w:val="00F25E08"/>
    <w:rsid w:val="00F26235"/>
    <w:rsid w:val="00F26754"/>
    <w:rsid w:val="00F271F2"/>
    <w:rsid w:val="00F27ADB"/>
    <w:rsid w:val="00F30B4F"/>
    <w:rsid w:val="00F33130"/>
    <w:rsid w:val="00F33506"/>
    <w:rsid w:val="00F338AF"/>
    <w:rsid w:val="00F35FF0"/>
    <w:rsid w:val="00F376ED"/>
    <w:rsid w:val="00F3794F"/>
    <w:rsid w:val="00F4519F"/>
    <w:rsid w:val="00F45EAA"/>
    <w:rsid w:val="00F4774E"/>
    <w:rsid w:val="00F50173"/>
    <w:rsid w:val="00F50251"/>
    <w:rsid w:val="00F50512"/>
    <w:rsid w:val="00F50F16"/>
    <w:rsid w:val="00F54592"/>
    <w:rsid w:val="00F56097"/>
    <w:rsid w:val="00F607C4"/>
    <w:rsid w:val="00F6199A"/>
    <w:rsid w:val="00F644C6"/>
    <w:rsid w:val="00F656D6"/>
    <w:rsid w:val="00F674E3"/>
    <w:rsid w:val="00F7262F"/>
    <w:rsid w:val="00F807D4"/>
    <w:rsid w:val="00F819F3"/>
    <w:rsid w:val="00F824C8"/>
    <w:rsid w:val="00F83CEE"/>
    <w:rsid w:val="00F83F44"/>
    <w:rsid w:val="00F8402D"/>
    <w:rsid w:val="00F865BF"/>
    <w:rsid w:val="00F87A9B"/>
    <w:rsid w:val="00F87D61"/>
    <w:rsid w:val="00F92042"/>
    <w:rsid w:val="00F932F2"/>
    <w:rsid w:val="00F94932"/>
    <w:rsid w:val="00F95390"/>
    <w:rsid w:val="00F95F5D"/>
    <w:rsid w:val="00F96C5E"/>
    <w:rsid w:val="00F973D4"/>
    <w:rsid w:val="00F9741C"/>
    <w:rsid w:val="00FA0E73"/>
    <w:rsid w:val="00FA1185"/>
    <w:rsid w:val="00FA25A9"/>
    <w:rsid w:val="00FB1C49"/>
    <w:rsid w:val="00FB1DD4"/>
    <w:rsid w:val="00FB37C8"/>
    <w:rsid w:val="00FC0BA6"/>
    <w:rsid w:val="00FC1B88"/>
    <w:rsid w:val="00FC28E3"/>
    <w:rsid w:val="00FC2B94"/>
    <w:rsid w:val="00FC32FB"/>
    <w:rsid w:val="00FC3AFB"/>
    <w:rsid w:val="00FC3D0C"/>
    <w:rsid w:val="00FC42B5"/>
    <w:rsid w:val="00FC4450"/>
    <w:rsid w:val="00FC4CB8"/>
    <w:rsid w:val="00FC5606"/>
    <w:rsid w:val="00FD08D9"/>
    <w:rsid w:val="00FD143B"/>
    <w:rsid w:val="00FD25A0"/>
    <w:rsid w:val="00FD3ABC"/>
    <w:rsid w:val="00FD46E5"/>
    <w:rsid w:val="00FD4EF5"/>
    <w:rsid w:val="00FD53F8"/>
    <w:rsid w:val="00FD7C9E"/>
    <w:rsid w:val="00FE2000"/>
    <w:rsid w:val="00FE31A8"/>
    <w:rsid w:val="00FE6EB3"/>
    <w:rsid w:val="00FF00B9"/>
    <w:rsid w:val="00FF182D"/>
    <w:rsid w:val="00FF33CF"/>
    <w:rsid w:val="00FF3AD3"/>
    <w:rsid w:val="00FF4127"/>
    <w:rsid w:val="00FF502C"/>
    <w:rsid w:val="00FF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D3FF3"/>
  <w15:docId w15:val="{C25C359D-C119-4D5F-A432-F6356D11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rsid w:val="009D481C"/>
    <w:pPr>
      <w:ind w:left="1289" w:right="1289"/>
      <w:jc w:val="center"/>
      <w:outlineLvl w:val="0"/>
    </w:pPr>
    <w:rPr>
      <w:b/>
      <w:bCs/>
      <w:sz w:val="32"/>
      <w:szCs w:val="24"/>
    </w:rPr>
  </w:style>
  <w:style w:type="paragraph" w:styleId="Heading2">
    <w:name w:val="heading 2"/>
    <w:basedOn w:val="Normal"/>
    <w:next w:val="Normal"/>
    <w:link w:val="Heading2Char"/>
    <w:uiPriority w:val="9"/>
    <w:semiHidden/>
    <w:unhideWhenUsed/>
    <w:qFormat/>
    <w:rsid w:val="006D6A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6C4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E6C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H3 N,Bullet 1"/>
    <w:basedOn w:val="Normal"/>
    <w:link w:val="ListParagraphChar"/>
    <w:uiPriority w:val="34"/>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AB3928"/>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AB3928"/>
    <w:rPr>
      <w:sz w:val="20"/>
      <w:szCs w:val="20"/>
    </w:rPr>
  </w:style>
  <w:style w:type="character" w:styleId="FootnoteReference">
    <w:name w:val="footnote reference"/>
    <w:aliases w:val="Footnote Reference BSA-AML Manual,Footnote Reference-BSA-AML"/>
    <w:basedOn w:val="DefaultParagraphFont"/>
    <w:uiPriority w:val="99"/>
    <w:unhideWhenUsed/>
    <w:qFormat/>
    <w:rsid w:val="00AB3928"/>
    <w:rPr>
      <w:vertAlign w:val="superscript"/>
    </w:rPr>
  </w:style>
  <w:style w:type="paragraph" w:styleId="Header">
    <w:name w:val="header"/>
    <w:basedOn w:val="Normal"/>
    <w:link w:val="HeaderChar"/>
    <w:uiPriority w:val="99"/>
    <w:unhideWhenUsed/>
    <w:rsid w:val="000E295B"/>
    <w:pPr>
      <w:tabs>
        <w:tab w:val="center" w:pos="4680"/>
        <w:tab w:val="right" w:pos="9360"/>
      </w:tabs>
    </w:pPr>
  </w:style>
  <w:style w:type="character" w:customStyle="1" w:styleId="HeaderChar">
    <w:name w:val="Header Char"/>
    <w:basedOn w:val="DefaultParagraphFont"/>
    <w:link w:val="Header"/>
    <w:uiPriority w:val="99"/>
    <w:rsid w:val="000E295B"/>
    <w:rPr>
      <w:rFonts w:ascii="Times New Roman" w:eastAsia="Times New Roman" w:hAnsi="Times New Roman" w:cs="Times New Roman"/>
      <w:lang w:bidi="en-US"/>
    </w:rPr>
  </w:style>
  <w:style w:type="paragraph" w:styleId="Footer">
    <w:name w:val="footer"/>
    <w:basedOn w:val="Normal"/>
    <w:link w:val="FooterChar"/>
    <w:uiPriority w:val="99"/>
    <w:unhideWhenUsed/>
    <w:rsid w:val="000E295B"/>
    <w:pPr>
      <w:tabs>
        <w:tab w:val="center" w:pos="4680"/>
        <w:tab w:val="right" w:pos="9360"/>
      </w:tabs>
    </w:pPr>
  </w:style>
  <w:style w:type="character" w:customStyle="1" w:styleId="FooterChar">
    <w:name w:val="Footer Char"/>
    <w:basedOn w:val="DefaultParagraphFont"/>
    <w:link w:val="Footer"/>
    <w:uiPriority w:val="99"/>
    <w:rsid w:val="000E295B"/>
    <w:rPr>
      <w:rFonts w:ascii="Times New Roman" w:eastAsia="Times New Roman" w:hAnsi="Times New Roman" w:cs="Times New Roman"/>
      <w:lang w:bidi="en-US"/>
    </w:rPr>
  </w:style>
  <w:style w:type="character" w:styleId="CommentReference">
    <w:name w:val="annotation reference"/>
    <w:basedOn w:val="DefaultParagraphFont"/>
    <w:uiPriority w:val="99"/>
    <w:unhideWhenUsed/>
    <w:rsid w:val="0064713E"/>
    <w:rPr>
      <w:sz w:val="16"/>
      <w:szCs w:val="16"/>
    </w:rPr>
  </w:style>
  <w:style w:type="paragraph" w:styleId="CommentText">
    <w:name w:val="annotation text"/>
    <w:basedOn w:val="Normal"/>
    <w:link w:val="CommentTextChar"/>
    <w:uiPriority w:val="99"/>
    <w:unhideWhenUsed/>
    <w:rsid w:val="0064713E"/>
    <w:rPr>
      <w:sz w:val="20"/>
      <w:szCs w:val="20"/>
    </w:rPr>
  </w:style>
  <w:style w:type="character" w:customStyle="1" w:styleId="CommentTextChar">
    <w:name w:val="Comment Text Char"/>
    <w:basedOn w:val="DefaultParagraphFont"/>
    <w:link w:val="CommentText"/>
    <w:uiPriority w:val="99"/>
    <w:rsid w:val="0064713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4713E"/>
    <w:rPr>
      <w:b/>
      <w:bCs/>
    </w:rPr>
  </w:style>
  <w:style w:type="character" w:customStyle="1" w:styleId="CommentSubjectChar">
    <w:name w:val="Comment Subject Char"/>
    <w:basedOn w:val="CommentTextChar"/>
    <w:link w:val="CommentSubject"/>
    <w:uiPriority w:val="99"/>
    <w:semiHidden/>
    <w:rsid w:val="0064713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47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13E"/>
    <w:rPr>
      <w:rFonts w:ascii="Segoe UI" w:eastAsia="Times New Roman" w:hAnsi="Segoe UI" w:cs="Segoe UI"/>
      <w:sz w:val="18"/>
      <w:szCs w:val="18"/>
      <w:lang w:bidi="en-US"/>
    </w:rPr>
  </w:style>
  <w:style w:type="paragraph" w:styleId="NormalWeb">
    <w:name w:val="Normal (Web)"/>
    <w:basedOn w:val="Normal"/>
    <w:uiPriority w:val="99"/>
    <w:semiHidden/>
    <w:unhideWhenUsed/>
    <w:rsid w:val="00192CB6"/>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D0C45"/>
    <w:rPr>
      <w:color w:val="0000FF"/>
      <w:u w:val="single"/>
    </w:rPr>
  </w:style>
  <w:style w:type="paragraph" w:styleId="Revision">
    <w:name w:val="Revision"/>
    <w:hidden/>
    <w:uiPriority w:val="99"/>
    <w:semiHidden/>
    <w:rsid w:val="001645F1"/>
    <w:pPr>
      <w:widowControl/>
      <w:autoSpaceDE/>
      <w:autoSpaceDN/>
    </w:pPr>
    <w:rPr>
      <w:rFonts w:ascii="Times New Roman" w:eastAsia="Times New Roman" w:hAnsi="Times New Roman" w:cs="Times New Roman"/>
      <w:lang w:bidi="en-US"/>
    </w:rPr>
  </w:style>
  <w:style w:type="character" w:customStyle="1" w:styleId="noglossary">
    <w:name w:val="noglossary"/>
    <w:basedOn w:val="DefaultParagraphFont"/>
    <w:rsid w:val="00C95260"/>
  </w:style>
  <w:style w:type="character" w:customStyle="1" w:styleId="BodyTextChar">
    <w:name w:val="Body Text Char"/>
    <w:basedOn w:val="DefaultParagraphFont"/>
    <w:link w:val="BodyText"/>
    <w:uiPriority w:val="1"/>
    <w:rsid w:val="00C20F19"/>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5E6C49"/>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5E6C49"/>
    <w:rPr>
      <w:rFonts w:asciiTheme="majorHAnsi" w:eastAsiaTheme="majorEastAsia" w:hAnsiTheme="majorHAnsi" w:cstheme="majorBidi"/>
      <w:i/>
      <w:iCs/>
      <w:color w:val="365F91" w:themeColor="accent1" w:themeShade="BF"/>
      <w:lang w:bidi="en-US"/>
    </w:rPr>
  </w:style>
  <w:style w:type="character" w:styleId="Strong">
    <w:name w:val="Strong"/>
    <w:basedOn w:val="DefaultParagraphFont"/>
    <w:uiPriority w:val="22"/>
    <w:qFormat/>
    <w:rsid w:val="005E6C49"/>
    <w:rPr>
      <w:b/>
      <w:bCs/>
    </w:rPr>
  </w:style>
  <w:style w:type="character" w:styleId="Emphasis">
    <w:name w:val="Emphasis"/>
    <w:basedOn w:val="DefaultParagraphFont"/>
    <w:uiPriority w:val="20"/>
    <w:qFormat/>
    <w:rsid w:val="005E6C49"/>
    <w:rPr>
      <w:i/>
      <w:iCs/>
    </w:rPr>
  </w:style>
  <w:style w:type="paragraph" w:customStyle="1" w:styleId="Default">
    <w:name w:val="Default"/>
    <w:rsid w:val="00766A85"/>
    <w:pPr>
      <w:widowControl/>
      <w:adjustRightInd w:val="0"/>
    </w:pPr>
    <w:rPr>
      <w:rFonts w:ascii="Times New Roman" w:hAnsi="Times New Roman" w:cs="Times New Roman"/>
      <w:color w:val="000000"/>
      <w:sz w:val="24"/>
      <w:szCs w:val="24"/>
    </w:rPr>
  </w:style>
  <w:style w:type="character" w:customStyle="1" w:styleId="tooltiptext1">
    <w:name w:val="tooltiptext1"/>
    <w:basedOn w:val="DefaultParagraphFont"/>
    <w:rsid w:val="000B3631"/>
    <w:rPr>
      <w:vanish/>
      <w:webHidden w:val="0"/>
      <w:specVanish w:val="0"/>
    </w:rPr>
  </w:style>
  <w:style w:type="character" w:customStyle="1" w:styleId="null1">
    <w:name w:val="null1"/>
    <w:basedOn w:val="DefaultParagraphFont"/>
    <w:rsid w:val="000B3631"/>
  </w:style>
  <w:style w:type="character" w:customStyle="1" w:styleId="ListParagraphChar">
    <w:name w:val="List Paragraph Char"/>
    <w:aliases w:val="H3 N Char,Bullet 1 Char"/>
    <w:basedOn w:val="DefaultParagraphFont"/>
    <w:link w:val="ListParagraph"/>
    <w:uiPriority w:val="1"/>
    <w:locked/>
    <w:rsid w:val="006B4E9B"/>
    <w:rPr>
      <w:rFonts w:ascii="Times New Roman" w:eastAsia="Times New Roman" w:hAnsi="Times New Roman" w:cs="Times New Roman"/>
      <w:lang w:bidi="en-US"/>
    </w:rPr>
  </w:style>
  <w:style w:type="paragraph" w:styleId="HTMLPreformatted">
    <w:name w:val="HTML Preformatted"/>
    <w:basedOn w:val="Normal"/>
    <w:link w:val="HTMLPreformattedChar"/>
    <w:uiPriority w:val="99"/>
    <w:unhideWhenUsed/>
    <w:rsid w:val="00277D52"/>
    <w:pPr>
      <w:widowControl/>
      <w:autoSpaceDE/>
      <w:autoSpaceDN/>
    </w:pPr>
    <w:rPr>
      <w:rFonts w:ascii="Consolas" w:eastAsiaTheme="minorHAnsi" w:hAnsi="Consolas" w:cstheme="minorBidi"/>
      <w:sz w:val="20"/>
      <w:szCs w:val="20"/>
      <w:lang w:bidi="ar-SA"/>
    </w:rPr>
  </w:style>
  <w:style w:type="character" w:customStyle="1" w:styleId="HTMLPreformattedChar">
    <w:name w:val="HTML Preformatted Char"/>
    <w:basedOn w:val="DefaultParagraphFont"/>
    <w:link w:val="HTMLPreformatted"/>
    <w:uiPriority w:val="99"/>
    <w:rsid w:val="00277D52"/>
    <w:rPr>
      <w:rFonts w:ascii="Consolas" w:hAnsi="Consolas"/>
      <w:sz w:val="20"/>
      <w:szCs w:val="20"/>
    </w:rPr>
  </w:style>
  <w:style w:type="character" w:styleId="FollowedHyperlink">
    <w:name w:val="FollowedHyperlink"/>
    <w:basedOn w:val="DefaultParagraphFont"/>
    <w:uiPriority w:val="99"/>
    <w:semiHidden/>
    <w:unhideWhenUsed/>
    <w:rsid w:val="00145FF6"/>
    <w:rPr>
      <w:color w:val="800080" w:themeColor="followedHyperlink"/>
      <w:u w:val="single"/>
    </w:rPr>
  </w:style>
  <w:style w:type="character" w:styleId="LineNumber">
    <w:name w:val="line number"/>
    <w:basedOn w:val="DefaultParagraphFont"/>
    <w:uiPriority w:val="99"/>
    <w:semiHidden/>
    <w:unhideWhenUsed/>
    <w:rsid w:val="007F2DC3"/>
  </w:style>
  <w:style w:type="paragraph" w:styleId="EndnoteText">
    <w:name w:val="endnote text"/>
    <w:basedOn w:val="Normal"/>
    <w:link w:val="EndnoteTextChar"/>
    <w:uiPriority w:val="99"/>
    <w:semiHidden/>
    <w:unhideWhenUsed/>
    <w:rsid w:val="00340DF4"/>
    <w:rPr>
      <w:sz w:val="20"/>
      <w:szCs w:val="20"/>
    </w:rPr>
  </w:style>
  <w:style w:type="character" w:customStyle="1" w:styleId="EndnoteTextChar">
    <w:name w:val="Endnote Text Char"/>
    <w:basedOn w:val="DefaultParagraphFont"/>
    <w:link w:val="EndnoteText"/>
    <w:uiPriority w:val="99"/>
    <w:semiHidden/>
    <w:rsid w:val="00340DF4"/>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340DF4"/>
    <w:rPr>
      <w:vertAlign w:val="superscript"/>
    </w:rPr>
  </w:style>
  <w:style w:type="character" w:customStyle="1" w:styleId="UnresolvedMention1">
    <w:name w:val="Unresolved Mention1"/>
    <w:basedOn w:val="DefaultParagraphFont"/>
    <w:uiPriority w:val="99"/>
    <w:semiHidden/>
    <w:unhideWhenUsed/>
    <w:rsid w:val="00A20161"/>
    <w:rPr>
      <w:color w:val="605E5C"/>
      <w:shd w:val="clear" w:color="auto" w:fill="E1DFDD"/>
    </w:rPr>
  </w:style>
  <w:style w:type="paragraph" w:customStyle="1" w:styleId="Header-BSA-AML">
    <w:name w:val="Header-BSA-AML"/>
    <w:basedOn w:val="Normal"/>
    <w:rsid w:val="009A7F59"/>
    <w:pPr>
      <w:widowControl/>
      <w:pBdr>
        <w:bottom w:val="single" w:sz="2" w:space="1" w:color="auto"/>
      </w:pBdr>
      <w:autoSpaceDE/>
      <w:autoSpaceDN/>
      <w:spacing w:after="200"/>
      <w:jc w:val="right"/>
    </w:pPr>
    <w:rPr>
      <w:sz w:val="20"/>
      <w:szCs w:val="20"/>
      <w:lang w:bidi="ar-SA"/>
    </w:rPr>
  </w:style>
  <w:style w:type="character" w:styleId="PageNumber">
    <w:name w:val="page number"/>
    <w:basedOn w:val="DefaultParagraphFont"/>
    <w:rsid w:val="009A7F59"/>
  </w:style>
  <w:style w:type="paragraph" w:customStyle="1" w:styleId="FooterBSA-AML">
    <w:name w:val="FooterBSA-AML"/>
    <w:basedOn w:val="Footer"/>
    <w:link w:val="FooterBSA-AMLChar"/>
    <w:rsid w:val="009A7F59"/>
    <w:pPr>
      <w:widowControl/>
      <w:pBdr>
        <w:top w:val="single" w:sz="2" w:space="1" w:color="auto"/>
      </w:pBdr>
      <w:tabs>
        <w:tab w:val="clear" w:pos="4680"/>
        <w:tab w:val="clear" w:pos="9360"/>
        <w:tab w:val="center" w:pos="4320"/>
        <w:tab w:val="right" w:pos="8640"/>
      </w:tabs>
      <w:autoSpaceDE/>
      <w:autoSpaceDN/>
      <w:spacing w:before="200" w:after="200"/>
    </w:pPr>
    <w:rPr>
      <w:sz w:val="20"/>
      <w:szCs w:val="24"/>
    </w:rPr>
  </w:style>
  <w:style w:type="character" w:customStyle="1" w:styleId="FooterBSA-AMLChar">
    <w:name w:val="FooterBSA-AML Char"/>
    <w:basedOn w:val="FooterChar"/>
    <w:link w:val="FooterBSA-AML"/>
    <w:rsid w:val="009A7F59"/>
    <w:rPr>
      <w:rFonts w:ascii="Times New Roman" w:eastAsia="Times New Roman" w:hAnsi="Times New Roman" w:cs="Times New Roman"/>
      <w:sz w:val="20"/>
      <w:szCs w:val="24"/>
      <w:lang w:bidi="en-US"/>
    </w:rPr>
  </w:style>
  <w:style w:type="paragraph" w:customStyle="1" w:styleId="Body-BSA-AML">
    <w:name w:val="Body-BSA-AML"/>
    <w:link w:val="Body-BSA-AMLChar"/>
    <w:rsid w:val="00E07E66"/>
    <w:pPr>
      <w:widowControl/>
      <w:autoSpaceDE/>
      <w:autoSpaceDN/>
      <w:spacing w:after="200"/>
    </w:pPr>
    <w:rPr>
      <w:rFonts w:ascii="Times New Roman" w:eastAsia="Times New Roman" w:hAnsi="Times New Roman" w:cs="Times New Roman"/>
      <w:sz w:val="24"/>
      <w:szCs w:val="20"/>
    </w:rPr>
  </w:style>
  <w:style w:type="character" w:customStyle="1" w:styleId="Body-BSA-AMLChar">
    <w:name w:val="Body-BSA-AML Char"/>
    <w:basedOn w:val="DefaultParagraphFont"/>
    <w:link w:val="Body-BSA-AML"/>
    <w:rsid w:val="00E07E66"/>
    <w:rPr>
      <w:rFonts w:ascii="Times New Roman" w:eastAsia="Times New Roman" w:hAnsi="Times New Roman" w:cs="Times New Roman"/>
      <w:sz w:val="24"/>
      <w:szCs w:val="20"/>
    </w:rPr>
  </w:style>
  <w:style w:type="character" w:customStyle="1" w:styleId="Head7-BSA-AMLCharChar">
    <w:name w:val="Head 7-BSA-AML Char Char"/>
    <w:basedOn w:val="DefaultParagraphFont"/>
    <w:rsid w:val="00E07E66"/>
    <w:rPr>
      <w:b/>
      <w:sz w:val="24"/>
      <w:szCs w:val="24"/>
      <w:lang w:val="en-US" w:eastAsia="en-US" w:bidi="ar-SA"/>
    </w:rPr>
  </w:style>
  <w:style w:type="character" w:customStyle="1" w:styleId="UnresolvedMention2">
    <w:name w:val="Unresolved Mention2"/>
    <w:basedOn w:val="DefaultParagraphFont"/>
    <w:uiPriority w:val="99"/>
    <w:semiHidden/>
    <w:unhideWhenUsed/>
    <w:rsid w:val="00534C80"/>
    <w:rPr>
      <w:color w:val="605E5C"/>
      <w:shd w:val="clear" w:color="auto" w:fill="E1DFDD"/>
    </w:rPr>
  </w:style>
  <w:style w:type="paragraph" w:customStyle="1" w:styleId="xmsonormal">
    <w:name w:val="x_msonormal"/>
    <w:basedOn w:val="Normal"/>
    <w:rsid w:val="00646A92"/>
    <w:pPr>
      <w:widowControl/>
      <w:autoSpaceDE/>
      <w:autoSpaceDN/>
    </w:pPr>
    <w:rPr>
      <w:rFonts w:ascii="Calibri" w:eastAsiaTheme="minorHAnsi" w:hAnsi="Calibri" w:cs="Calibri"/>
      <w:sz w:val="20"/>
      <w:szCs w:val="20"/>
      <w:lang w:bidi="ar-SA"/>
    </w:rPr>
  </w:style>
  <w:style w:type="character" w:customStyle="1" w:styleId="UnresolvedMention3">
    <w:name w:val="Unresolved Mention3"/>
    <w:basedOn w:val="DefaultParagraphFont"/>
    <w:uiPriority w:val="99"/>
    <w:semiHidden/>
    <w:unhideWhenUsed/>
    <w:rsid w:val="0025426F"/>
    <w:rPr>
      <w:color w:val="605E5C"/>
      <w:shd w:val="clear" w:color="auto" w:fill="E1DFDD"/>
    </w:rPr>
  </w:style>
  <w:style w:type="character" w:customStyle="1" w:styleId="UnresolvedMention4">
    <w:name w:val="Unresolved Mention4"/>
    <w:basedOn w:val="DefaultParagraphFont"/>
    <w:uiPriority w:val="99"/>
    <w:semiHidden/>
    <w:unhideWhenUsed/>
    <w:rsid w:val="00566DDF"/>
    <w:rPr>
      <w:color w:val="605E5C"/>
      <w:shd w:val="clear" w:color="auto" w:fill="E1DFDD"/>
    </w:rPr>
  </w:style>
  <w:style w:type="character" w:customStyle="1" w:styleId="UnresolvedMention5">
    <w:name w:val="Unresolved Mention5"/>
    <w:basedOn w:val="DefaultParagraphFont"/>
    <w:uiPriority w:val="99"/>
    <w:semiHidden/>
    <w:unhideWhenUsed/>
    <w:rsid w:val="00F03E75"/>
    <w:rPr>
      <w:color w:val="605E5C"/>
      <w:shd w:val="clear" w:color="auto" w:fill="E1DFDD"/>
    </w:rPr>
  </w:style>
  <w:style w:type="character" w:customStyle="1" w:styleId="UnresolvedMention6">
    <w:name w:val="Unresolved Mention6"/>
    <w:basedOn w:val="DefaultParagraphFont"/>
    <w:uiPriority w:val="99"/>
    <w:semiHidden/>
    <w:unhideWhenUsed/>
    <w:rsid w:val="004F4117"/>
    <w:rPr>
      <w:color w:val="605E5C"/>
      <w:shd w:val="clear" w:color="auto" w:fill="E1DFDD"/>
    </w:rPr>
  </w:style>
  <w:style w:type="character" w:customStyle="1" w:styleId="UnresolvedMention60">
    <w:name w:val="Unresolved Mention6"/>
    <w:basedOn w:val="DefaultParagraphFont"/>
    <w:uiPriority w:val="99"/>
    <w:semiHidden/>
    <w:unhideWhenUsed/>
    <w:rsid w:val="005D39FB"/>
    <w:rPr>
      <w:color w:val="605E5C"/>
      <w:shd w:val="clear" w:color="auto" w:fill="E1DFDD"/>
    </w:rPr>
  </w:style>
  <w:style w:type="table" w:styleId="TableGrid">
    <w:name w:val="Table Grid"/>
    <w:basedOn w:val="TableNormal"/>
    <w:uiPriority w:val="39"/>
    <w:rsid w:val="00A6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D6ACB"/>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90635">
      <w:bodyDiv w:val="1"/>
      <w:marLeft w:val="0"/>
      <w:marRight w:val="0"/>
      <w:marTop w:val="0"/>
      <w:marBottom w:val="0"/>
      <w:divBdr>
        <w:top w:val="none" w:sz="0" w:space="0" w:color="auto"/>
        <w:left w:val="none" w:sz="0" w:space="0" w:color="auto"/>
        <w:bottom w:val="none" w:sz="0" w:space="0" w:color="auto"/>
        <w:right w:val="none" w:sz="0" w:space="0" w:color="auto"/>
      </w:divBdr>
    </w:div>
    <w:div w:id="390078676">
      <w:bodyDiv w:val="1"/>
      <w:marLeft w:val="0"/>
      <w:marRight w:val="0"/>
      <w:marTop w:val="0"/>
      <w:marBottom w:val="0"/>
      <w:divBdr>
        <w:top w:val="none" w:sz="0" w:space="0" w:color="auto"/>
        <w:left w:val="none" w:sz="0" w:space="0" w:color="auto"/>
        <w:bottom w:val="none" w:sz="0" w:space="0" w:color="auto"/>
        <w:right w:val="none" w:sz="0" w:space="0" w:color="auto"/>
      </w:divBdr>
    </w:div>
    <w:div w:id="433135807">
      <w:bodyDiv w:val="1"/>
      <w:marLeft w:val="0"/>
      <w:marRight w:val="0"/>
      <w:marTop w:val="0"/>
      <w:marBottom w:val="0"/>
      <w:divBdr>
        <w:top w:val="none" w:sz="0" w:space="0" w:color="auto"/>
        <w:left w:val="none" w:sz="0" w:space="0" w:color="auto"/>
        <w:bottom w:val="none" w:sz="0" w:space="0" w:color="auto"/>
        <w:right w:val="none" w:sz="0" w:space="0" w:color="auto"/>
      </w:divBdr>
    </w:div>
    <w:div w:id="529950610">
      <w:bodyDiv w:val="1"/>
      <w:marLeft w:val="0"/>
      <w:marRight w:val="0"/>
      <w:marTop w:val="0"/>
      <w:marBottom w:val="0"/>
      <w:divBdr>
        <w:top w:val="none" w:sz="0" w:space="0" w:color="auto"/>
        <w:left w:val="none" w:sz="0" w:space="0" w:color="auto"/>
        <w:bottom w:val="none" w:sz="0" w:space="0" w:color="auto"/>
        <w:right w:val="none" w:sz="0" w:space="0" w:color="auto"/>
      </w:divBdr>
    </w:div>
    <w:div w:id="769351947">
      <w:bodyDiv w:val="1"/>
      <w:marLeft w:val="0"/>
      <w:marRight w:val="0"/>
      <w:marTop w:val="0"/>
      <w:marBottom w:val="0"/>
      <w:divBdr>
        <w:top w:val="none" w:sz="0" w:space="0" w:color="auto"/>
        <w:left w:val="none" w:sz="0" w:space="0" w:color="auto"/>
        <w:bottom w:val="none" w:sz="0" w:space="0" w:color="auto"/>
        <w:right w:val="none" w:sz="0" w:space="0" w:color="auto"/>
      </w:divBdr>
    </w:div>
    <w:div w:id="813529405">
      <w:bodyDiv w:val="1"/>
      <w:marLeft w:val="0"/>
      <w:marRight w:val="0"/>
      <w:marTop w:val="0"/>
      <w:marBottom w:val="0"/>
      <w:divBdr>
        <w:top w:val="none" w:sz="0" w:space="0" w:color="auto"/>
        <w:left w:val="none" w:sz="0" w:space="0" w:color="auto"/>
        <w:bottom w:val="none" w:sz="0" w:space="0" w:color="auto"/>
        <w:right w:val="none" w:sz="0" w:space="0" w:color="auto"/>
      </w:divBdr>
    </w:div>
    <w:div w:id="841433798">
      <w:bodyDiv w:val="1"/>
      <w:marLeft w:val="0"/>
      <w:marRight w:val="0"/>
      <w:marTop w:val="0"/>
      <w:marBottom w:val="0"/>
      <w:divBdr>
        <w:top w:val="none" w:sz="0" w:space="0" w:color="auto"/>
        <w:left w:val="none" w:sz="0" w:space="0" w:color="auto"/>
        <w:bottom w:val="none" w:sz="0" w:space="0" w:color="auto"/>
        <w:right w:val="none" w:sz="0" w:space="0" w:color="auto"/>
      </w:divBdr>
    </w:div>
    <w:div w:id="891884039">
      <w:bodyDiv w:val="1"/>
      <w:marLeft w:val="0"/>
      <w:marRight w:val="0"/>
      <w:marTop w:val="0"/>
      <w:marBottom w:val="0"/>
      <w:divBdr>
        <w:top w:val="none" w:sz="0" w:space="0" w:color="auto"/>
        <w:left w:val="none" w:sz="0" w:space="0" w:color="auto"/>
        <w:bottom w:val="none" w:sz="0" w:space="0" w:color="auto"/>
        <w:right w:val="none" w:sz="0" w:space="0" w:color="auto"/>
      </w:divBdr>
    </w:div>
    <w:div w:id="897128591">
      <w:bodyDiv w:val="1"/>
      <w:marLeft w:val="0"/>
      <w:marRight w:val="0"/>
      <w:marTop w:val="0"/>
      <w:marBottom w:val="0"/>
      <w:divBdr>
        <w:top w:val="none" w:sz="0" w:space="0" w:color="auto"/>
        <w:left w:val="none" w:sz="0" w:space="0" w:color="auto"/>
        <w:bottom w:val="none" w:sz="0" w:space="0" w:color="auto"/>
        <w:right w:val="none" w:sz="0" w:space="0" w:color="auto"/>
      </w:divBdr>
    </w:div>
    <w:div w:id="923490421">
      <w:bodyDiv w:val="1"/>
      <w:marLeft w:val="0"/>
      <w:marRight w:val="0"/>
      <w:marTop w:val="0"/>
      <w:marBottom w:val="0"/>
      <w:divBdr>
        <w:top w:val="none" w:sz="0" w:space="0" w:color="auto"/>
        <w:left w:val="none" w:sz="0" w:space="0" w:color="auto"/>
        <w:bottom w:val="none" w:sz="0" w:space="0" w:color="auto"/>
        <w:right w:val="none" w:sz="0" w:space="0" w:color="auto"/>
      </w:divBdr>
    </w:div>
    <w:div w:id="1018197232">
      <w:bodyDiv w:val="1"/>
      <w:marLeft w:val="0"/>
      <w:marRight w:val="0"/>
      <w:marTop w:val="0"/>
      <w:marBottom w:val="0"/>
      <w:divBdr>
        <w:top w:val="none" w:sz="0" w:space="0" w:color="auto"/>
        <w:left w:val="none" w:sz="0" w:space="0" w:color="auto"/>
        <w:bottom w:val="none" w:sz="0" w:space="0" w:color="auto"/>
        <w:right w:val="none" w:sz="0" w:space="0" w:color="auto"/>
      </w:divBdr>
    </w:div>
    <w:div w:id="1044603313">
      <w:bodyDiv w:val="1"/>
      <w:marLeft w:val="0"/>
      <w:marRight w:val="0"/>
      <w:marTop w:val="0"/>
      <w:marBottom w:val="0"/>
      <w:divBdr>
        <w:top w:val="none" w:sz="0" w:space="0" w:color="auto"/>
        <w:left w:val="none" w:sz="0" w:space="0" w:color="auto"/>
        <w:bottom w:val="none" w:sz="0" w:space="0" w:color="auto"/>
        <w:right w:val="none" w:sz="0" w:space="0" w:color="auto"/>
      </w:divBdr>
    </w:div>
    <w:div w:id="1065491964">
      <w:bodyDiv w:val="1"/>
      <w:marLeft w:val="0"/>
      <w:marRight w:val="0"/>
      <w:marTop w:val="0"/>
      <w:marBottom w:val="0"/>
      <w:divBdr>
        <w:top w:val="none" w:sz="0" w:space="0" w:color="auto"/>
        <w:left w:val="none" w:sz="0" w:space="0" w:color="auto"/>
        <w:bottom w:val="none" w:sz="0" w:space="0" w:color="auto"/>
        <w:right w:val="none" w:sz="0" w:space="0" w:color="auto"/>
      </w:divBdr>
    </w:div>
    <w:div w:id="1074357207">
      <w:bodyDiv w:val="1"/>
      <w:marLeft w:val="0"/>
      <w:marRight w:val="0"/>
      <w:marTop w:val="0"/>
      <w:marBottom w:val="0"/>
      <w:divBdr>
        <w:top w:val="none" w:sz="0" w:space="0" w:color="auto"/>
        <w:left w:val="none" w:sz="0" w:space="0" w:color="auto"/>
        <w:bottom w:val="none" w:sz="0" w:space="0" w:color="auto"/>
        <w:right w:val="none" w:sz="0" w:space="0" w:color="auto"/>
      </w:divBdr>
    </w:div>
    <w:div w:id="1163082465">
      <w:bodyDiv w:val="1"/>
      <w:marLeft w:val="0"/>
      <w:marRight w:val="0"/>
      <w:marTop w:val="0"/>
      <w:marBottom w:val="0"/>
      <w:divBdr>
        <w:top w:val="none" w:sz="0" w:space="0" w:color="auto"/>
        <w:left w:val="none" w:sz="0" w:space="0" w:color="auto"/>
        <w:bottom w:val="none" w:sz="0" w:space="0" w:color="auto"/>
        <w:right w:val="none" w:sz="0" w:space="0" w:color="auto"/>
      </w:divBdr>
    </w:div>
    <w:div w:id="1188326382">
      <w:bodyDiv w:val="1"/>
      <w:marLeft w:val="0"/>
      <w:marRight w:val="0"/>
      <w:marTop w:val="0"/>
      <w:marBottom w:val="0"/>
      <w:divBdr>
        <w:top w:val="none" w:sz="0" w:space="0" w:color="auto"/>
        <w:left w:val="none" w:sz="0" w:space="0" w:color="auto"/>
        <w:bottom w:val="none" w:sz="0" w:space="0" w:color="auto"/>
        <w:right w:val="none" w:sz="0" w:space="0" w:color="auto"/>
      </w:divBdr>
    </w:div>
    <w:div w:id="1220558567">
      <w:bodyDiv w:val="1"/>
      <w:marLeft w:val="0"/>
      <w:marRight w:val="0"/>
      <w:marTop w:val="0"/>
      <w:marBottom w:val="0"/>
      <w:divBdr>
        <w:top w:val="none" w:sz="0" w:space="0" w:color="auto"/>
        <w:left w:val="none" w:sz="0" w:space="0" w:color="auto"/>
        <w:bottom w:val="none" w:sz="0" w:space="0" w:color="auto"/>
        <w:right w:val="none" w:sz="0" w:space="0" w:color="auto"/>
      </w:divBdr>
    </w:div>
    <w:div w:id="1298148503">
      <w:bodyDiv w:val="1"/>
      <w:marLeft w:val="0"/>
      <w:marRight w:val="0"/>
      <w:marTop w:val="0"/>
      <w:marBottom w:val="0"/>
      <w:divBdr>
        <w:top w:val="none" w:sz="0" w:space="0" w:color="auto"/>
        <w:left w:val="none" w:sz="0" w:space="0" w:color="auto"/>
        <w:bottom w:val="none" w:sz="0" w:space="0" w:color="auto"/>
        <w:right w:val="none" w:sz="0" w:space="0" w:color="auto"/>
      </w:divBdr>
    </w:div>
    <w:div w:id="1363481907">
      <w:bodyDiv w:val="1"/>
      <w:marLeft w:val="0"/>
      <w:marRight w:val="0"/>
      <w:marTop w:val="0"/>
      <w:marBottom w:val="0"/>
      <w:divBdr>
        <w:top w:val="none" w:sz="0" w:space="0" w:color="auto"/>
        <w:left w:val="none" w:sz="0" w:space="0" w:color="auto"/>
        <w:bottom w:val="none" w:sz="0" w:space="0" w:color="auto"/>
        <w:right w:val="none" w:sz="0" w:space="0" w:color="auto"/>
      </w:divBdr>
    </w:div>
    <w:div w:id="1406759710">
      <w:bodyDiv w:val="1"/>
      <w:marLeft w:val="0"/>
      <w:marRight w:val="0"/>
      <w:marTop w:val="0"/>
      <w:marBottom w:val="0"/>
      <w:divBdr>
        <w:top w:val="none" w:sz="0" w:space="0" w:color="auto"/>
        <w:left w:val="none" w:sz="0" w:space="0" w:color="auto"/>
        <w:bottom w:val="none" w:sz="0" w:space="0" w:color="auto"/>
        <w:right w:val="none" w:sz="0" w:space="0" w:color="auto"/>
      </w:divBdr>
    </w:div>
    <w:div w:id="1433280493">
      <w:bodyDiv w:val="1"/>
      <w:marLeft w:val="0"/>
      <w:marRight w:val="0"/>
      <w:marTop w:val="0"/>
      <w:marBottom w:val="0"/>
      <w:divBdr>
        <w:top w:val="none" w:sz="0" w:space="0" w:color="auto"/>
        <w:left w:val="none" w:sz="0" w:space="0" w:color="auto"/>
        <w:bottom w:val="none" w:sz="0" w:space="0" w:color="auto"/>
        <w:right w:val="none" w:sz="0" w:space="0" w:color="auto"/>
      </w:divBdr>
    </w:div>
    <w:div w:id="1560821360">
      <w:bodyDiv w:val="1"/>
      <w:marLeft w:val="0"/>
      <w:marRight w:val="0"/>
      <w:marTop w:val="0"/>
      <w:marBottom w:val="0"/>
      <w:divBdr>
        <w:top w:val="none" w:sz="0" w:space="0" w:color="auto"/>
        <w:left w:val="none" w:sz="0" w:space="0" w:color="auto"/>
        <w:bottom w:val="none" w:sz="0" w:space="0" w:color="auto"/>
        <w:right w:val="none" w:sz="0" w:space="0" w:color="auto"/>
      </w:divBdr>
    </w:div>
    <w:div w:id="1777485194">
      <w:bodyDiv w:val="1"/>
      <w:marLeft w:val="0"/>
      <w:marRight w:val="0"/>
      <w:marTop w:val="0"/>
      <w:marBottom w:val="0"/>
      <w:divBdr>
        <w:top w:val="none" w:sz="0" w:space="0" w:color="auto"/>
        <w:left w:val="none" w:sz="0" w:space="0" w:color="auto"/>
        <w:bottom w:val="none" w:sz="0" w:space="0" w:color="auto"/>
        <w:right w:val="none" w:sz="0" w:space="0" w:color="auto"/>
      </w:divBdr>
    </w:div>
    <w:div w:id="1811049222">
      <w:bodyDiv w:val="1"/>
      <w:marLeft w:val="0"/>
      <w:marRight w:val="0"/>
      <w:marTop w:val="0"/>
      <w:marBottom w:val="0"/>
      <w:divBdr>
        <w:top w:val="none" w:sz="0" w:space="0" w:color="auto"/>
        <w:left w:val="none" w:sz="0" w:space="0" w:color="auto"/>
        <w:bottom w:val="none" w:sz="0" w:space="0" w:color="auto"/>
        <w:right w:val="none" w:sz="0" w:space="0" w:color="auto"/>
      </w:divBdr>
    </w:div>
    <w:div w:id="1817718787">
      <w:bodyDiv w:val="1"/>
      <w:marLeft w:val="0"/>
      <w:marRight w:val="0"/>
      <w:marTop w:val="0"/>
      <w:marBottom w:val="0"/>
      <w:divBdr>
        <w:top w:val="none" w:sz="0" w:space="0" w:color="auto"/>
        <w:left w:val="none" w:sz="0" w:space="0" w:color="auto"/>
        <w:bottom w:val="none" w:sz="0" w:space="0" w:color="auto"/>
        <w:right w:val="none" w:sz="0" w:space="0" w:color="auto"/>
      </w:divBdr>
    </w:div>
    <w:div w:id="1834955873">
      <w:bodyDiv w:val="1"/>
      <w:marLeft w:val="0"/>
      <w:marRight w:val="0"/>
      <w:marTop w:val="0"/>
      <w:marBottom w:val="0"/>
      <w:divBdr>
        <w:top w:val="none" w:sz="0" w:space="0" w:color="auto"/>
        <w:left w:val="none" w:sz="0" w:space="0" w:color="auto"/>
        <w:bottom w:val="none" w:sz="0" w:space="0" w:color="auto"/>
        <w:right w:val="none" w:sz="0" w:space="0" w:color="auto"/>
      </w:divBdr>
    </w:div>
    <w:div w:id="1922979640">
      <w:bodyDiv w:val="1"/>
      <w:marLeft w:val="0"/>
      <w:marRight w:val="0"/>
      <w:marTop w:val="0"/>
      <w:marBottom w:val="0"/>
      <w:divBdr>
        <w:top w:val="none" w:sz="0" w:space="0" w:color="auto"/>
        <w:left w:val="none" w:sz="0" w:space="0" w:color="auto"/>
        <w:bottom w:val="none" w:sz="0" w:space="0" w:color="auto"/>
        <w:right w:val="none" w:sz="0" w:space="0" w:color="auto"/>
      </w:divBdr>
    </w:div>
    <w:div w:id="2047288565">
      <w:bodyDiv w:val="1"/>
      <w:marLeft w:val="0"/>
      <w:marRight w:val="0"/>
      <w:marTop w:val="0"/>
      <w:marBottom w:val="0"/>
      <w:divBdr>
        <w:top w:val="none" w:sz="0" w:space="0" w:color="auto"/>
        <w:left w:val="none" w:sz="0" w:space="0" w:color="auto"/>
        <w:bottom w:val="none" w:sz="0" w:space="0" w:color="auto"/>
        <w:right w:val="none" w:sz="0" w:space="0" w:color="auto"/>
      </w:divBdr>
    </w:div>
    <w:div w:id="2051565049">
      <w:bodyDiv w:val="1"/>
      <w:marLeft w:val="0"/>
      <w:marRight w:val="0"/>
      <w:marTop w:val="0"/>
      <w:marBottom w:val="0"/>
      <w:divBdr>
        <w:top w:val="none" w:sz="0" w:space="0" w:color="auto"/>
        <w:left w:val="none" w:sz="0" w:space="0" w:color="auto"/>
        <w:bottom w:val="none" w:sz="0" w:space="0" w:color="auto"/>
        <w:right w:val="none" w:sz="0" w:space="0" w:color="auto"/>
      </w:divBdr>
    </w:div>
    <w:div w:id="206039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31/subtitle-B/chapter-X/part-1010/subpart-F/subject-group-ECFR38b4e037e434276/section-1010.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8241fec4-b6fe-4047-9a84-a827eab4fa8e">Draft</Category>
    <DocID xmlns="8241fec4-b6fe-4047-9a84-a827eab4fa8e">ad96d2a5-d7ba-4f3c-b1cb-14cd8f9d3e9a</DocID>
    <CaseID xmlns="8241fec4-b6fe-4047-9a84-a827eab4fa8e">2021-SE-0373</Cas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6DA7B50110D4BBE0DEE8DDD6C16B5" ma:contentTypeVersion="10" ma:contentTypeDescription="Create a new document." ma:contentTypeScope="" ma:versionID="075d28a41f78d49ceb1574a8164a566f">
  <xsd:schema xmlns:xsd="http://www.w3.org/2001/XMLSchema" xmlns:xs="http://www.w3.org/2001/XMLSchema" xmlns:p="http://schemas.microsoft.com/office/2006/metadata/properties" xmlns:ns3="6c2c0779-9114-47c5-a894-c6ef47409585" xmlns:ns4="3914a768-6265-4020-a73e-32455060228e" targetNamespace="http://schemas.microsoft.com/office/2006/metadata/properties" ma:root="true" ma:fieldsID="f038c15e5509046b92e2d77213710d58" ns3:_="" ns4:_="">
    <xsd:import namespace="6c2c0779-9114-47c5-a894-c6ef47409585"/>
    <xsd:import namespace="3914a768-6265-4020-a73e-3245506022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c0779-9114-47c5-a894-c6ef47409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4a768-6265-4020-a73e-324550602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DA321-C8C4-4741-B652-46DDC2442AC1}">
  <ds:schemaRefs>
    <ds:schemaRef ds:uri="http://schemas.openxmlformats.org/officeDocument/2006/bibliography"/>
  </ds:schemaRefs>
</ds:datastoreItem>
</file>

<file path=customXml/itemProps2.xml><?xml version="1.0" encoding="utf-8"?>
<ds:datastoreItem xmlns:ds="http://schemas.openxmlformats.org/officeDocument/2006/customXml" ds:itemID="{8C21396F-2BFE-44F6-9B42-FE5D90EA744E}">
  <ds:schemaRefs>
    <ds:schemaRef ds:uri="http://schemas.microsoft.com/office/2006/metadata/properties"/>
    <ds:schemaRef ds:uri="8241fec4-b6fe-4047-9a84-a827eab4fa8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03ff9af-50f7-464b-b58e-f7ae6da7856f"/>
    <ds:schemaRef ds:uri="http://www.w3.org/XML/1998/namespace"/>
    <ds:schemaRef ds:uri="http://purl.org/dc/dcmitype/"/>
  </ds:schemaRefs>
</ds:datastoreItem>
</file>

<file path=customXml/itemProps3.xml><?xml version="1.0" encoding="utf-8"?>
<ds:datastoreItem xmlns:ds="http://schemas.openxmlformats.org/officeDocument/2006/customXml" ds:itemID="{8CDAB0D5-CEC6-4F4D-8549-0F18D0BFC69F}">
  <ds:schemaRefs>
    <ds:schemaRef ds:uri="http://schemas.microsoft.com/sharepoint/v3/contenttype/forms"/>
  </ds:schemaRefs>
</ds:datastoreItem>
</file>

<file path=customXml/itemProps4.xml><?xml version="1.0" encoding="utf-8"?>
<ds:datastoreItem xmlns:ds="http://schemas.openxmlformats.org/officeDocument/2006/customXml" ds:itemID="{D53977CB-0167-49AB-9698-0CDEAEDCD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c0779-9114-47c5-a894-c6ef47409585"/>
    <ds:schemaRef ds:uri="3914a768-6265-4020-a73e-32455060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Joint Statement on Innovation Efforts to Combat Money Laundering and Terrorist Financing</vt:lpstr>
    </vt:vector>
  </TitlesOfParts>
  <Company>Department of the Treasury</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Innovation Efforts to Combat Money Laundering and Terrorist Financing</dc:title>
  <dc:subject>Bank Secrecy Act Innovation</dc:subject>
  <dc:creator>Federal Regulators</dc:creator>
  <cp:keywords>Bank Secrecy Act, BSA, AML, Anit-Money Laundering, Innovation</cp:keywords>
  <dc:description/>
  <cp:lastModifiedBy>FRB2</cp:lastModifiedBy>
  <cp:revision>3</cp:revision>
  <cp:lastPrinted>2020-08-13T18:30:00Z</cp:lastPrinted>
  <dcterms:created xsi:type="dcterms:W3CDTF">2023-07-03T15:42:00Z</dcterms:created>
  <dcterms:modified xsi:type="dcterms:W3CDTF">2023-07-05T12:20:00Z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Acrobat PDFMaker 17 for Word</vt:lpwstr>
  </property>
  <property fmtid="{D5CDD505-2E9C-101B-9397-08002B2CF9AE}" pid="4" name="LastSaved">
    <vt:filetime>2020-04-28T00:00:00Z</vt:filetime>
  </property>
  <property fmtid="{D5CDD505-2E9C-101B-9397-08002B2CF9AE}" pid="5" name="TitusGUID">
    <vt:lpwstr>ae8c0b78-c74a-4c63-84e8-92723d298593</vt:lpwstr>
  </property>
  <property fmtid="{D5CDD505-2E9C-101B-9397-08002B2CF9AE}" pid="6" name="ContentTypeId">
    <vt:lpwstr>0x0101007B340221217F564EA29AE35A40860018</vt:lpwstr>
  </property>
  <property fmtid="{D5CDD505-2E9C-101B-9397-08002B2CF9AE}" pid="7" name="MSIP_Label_3cbab4f1-dcc8-4800-b101-70f2ebeb2cf4_Enabled">
    <vt:lpwstr>true</vt:lpwstr>
  </property>
  <property fmtid="{D5CDD505-2E9C-101B-9397-08002B2CF9AE}" pid="8" name="MSIP_Label_3cbab4f1-dcc8-4800-b101-70f2ebeb2cf4_SetDate">
    <vt:lpwstr>2023-07-05T12:20:23Z</vt:lpwstr>
  </property>
  <property fmtid="{D5CDD505-2E9C-101B-9397-08002B2CF9AE}" pid="9" name="MSIP_Label_3cbab4f1-dcc8-4800-b101-70f2ebeb2cf4_Method">
    <vt:lpwstr>Privileged</vt:lpwstr>
  </property>
  <property fmtid="{D5CDD505-2E9C-101B-9397-08002B2CF9AE}" pid="10" name="MSIP_Label_3cbab4f1-dcc8-4800-b101-70f2ebeb2cf4_Name">
    <vt:lpwstr>NONCONFIDENTIAL - EXTERNAL</vt:lpwstr>
  </property>
  <property fmtid="{D5CDD505-2E9C-101B-9397-08002B2CF9AE}" pid="11" name="MSIP_Label_3cbab4f1-dcc8-4800-b101-70f2ebeb2cf4_SiteId">
    <vt:lpwstr>87bb2570-5c1e-4973-9c37-09257a95aeb1</vt:lpwstr>
  </property>
  <property fmtid="{D5CDD505-2E9C-101B-9397-08002B2CF9AE}" pid="12" name="MSIP_Label_3cbab4f1-dcc8-4800-b101-70f2ebeb2cf4_ActionId">
    <vt:lpwstr>ec86ef8c-d552-4662-9059-2b501ffa1a2c</vt:lpwstr>
  </property>
  <property fmtid="{D5CDD505-2E9C-101B-9397-08002B2CF9AE}" pid="13" name="MSIP_Label_3cbab4f1-dcc8-4800-b101-70f2ebeb2cf4_ContentBits">
    <vt:lpwstr>1</vt:lpwstr>
  </property>
</Properties>
</file>