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5F095" w14:textId="77777777" w:rsidR="00833BB0" w:rsidRPr="0086047B" w:rsidRDefault="00833BB0" w:rsidP="00833BB0">
      <w:pPr>
        <w:pStyle w:val="Head3-BSA-AML"/>
        <w:rPr>
          <w:sz w:val="36"/>
          <w:szCs w:val="36"/>
        </w:rPr>
      </w:pPr>
      <w:r w:rsidRPr="0086047B">
        <w:rPr>
          <w:sz w:val="36"/>
          <w:szCs w:val="36"/>
        </w:rPr>
        <w:t>Examination Procedures</w:t>
      </w:r>
    </w:p>
    <w:p w14:paraId="7E5B5AF8" w14:textId="77777777" w:rsidR="00833BB0" w:rsidRDefault="00833BB0" w:rsidP="00833BB0">
      <w:pPr>
        <w:pStyle w:val="Head4-BSA-AML"/>
        <w:jc w:val="center"/>
      </w:pPr>
      <w:r>
        <w:t>Bulk Shipments of Currency</w:t>
      </w:r>
    </w:p>
    <w:p w14:paraId="11BDC9F1" w14:textId="77777777" w:rsidR="00833BB0" w:rsidRDefault="00833BB0" w:rsidP="00833BB0">
      <w:pPr>
        <w:rPr>
          <w:sz w:val="22"/>
          <w:szCs w:val="22"/>
        </w:rPr>
      </w:pPr>
    </w:p>
    <w:p w14:paraId="38F8E11E" w14:textId="77777777" w:rsidR="00833BB0" w:rsidRDefault="00833BB0" w:rsidP="00833BB0">
      <w:pPr>
        <w:rPr>
          <w:i/>
        </w:rPr>
      </w:pPr>
      <w:r>
        <w:rPr>
          <w:rStyle w:val="Head7-BSA-AMLCharChar"/>
        </w:rPr>
        <w:t>Objective.</w:t>
      </w:r>
      <w:r>
        <w:rPr>
          <w:iCs/>
        </w:rPr>
        <w:t xml:space="preserve">  </w:t>
      </w:r>
      <w:r w:rsidRPr="00D47022">
        <w:rPr>
          <w:i/>
          <w:sz w:val="24"/>
          <w:szCs w:val="24"/>
        </w:rPr>
        <w:t xml:space="preserve">Assess the adequacy of the U.S. bank’s systems to manage the risks associated with receiving </w:t>
      </w:r>
      <w:r>
        <w:rPr>
          <w:i/>
          <w:sz w:val="24"/>
          <w:szCs w:val="24"/>
        </w:rPr>
        <w:t xml:space="preserve">and sending </w:t>
      </w:r>
      <w:r w:rsidRPr="00D47022">
        <w:rPr>
          <w:i/>
          <w:sz w:val="24"/>
          <w:szCs w:val="24"/>
        </w:rPr>
        <w:t>bulk shipments of currency, and management’s ability to implement effective due diligence, monitoring, and reporting systems.</w:t>
      </w:r>
      <w:r w:rsidRPr="00A64400">
        <w:t xml:space="preserve"> </w:t>
      </w:r>
    </w:p>
    <w:p w14:paraId="3EE10913" w14:textId="77777777" w:rsidR="00833BB0" w:rsidRDefault="00833BB0" w:rsidP="00833BB0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7"/>
        <w:gridCol w:w="5383"/>
      </w:tblGrid>
      <w:tr w:rsidR="00833BB0" w:rsidRPr="00EC4C3D" w14:paraId="02F45E07" w14:textId="77777777" w:rsidTr="00FD77C2">
        <w:trPr>
          <w:tblHeader/>
        </w:trPr>
        <w:tc>
          <w:tcPr>
            <w:tcW w:w="5508" w:type="dxa"/>
            <w:tcBorders>
              <w:bottom w:val="single" w:sz="4" w:space="0" w:color="auto"/>
            </w:tcBorders>
            <w:shd w:val="clear" w:color="auto" w:fill="E0E0E0"/>
          </w:tcPr>
          <w:p w14:paraId="5A25FB30" w14:textId="77777777" w:rsidR="00833BB0" w:rsidRPr="00EC4C3D" w:rsidRDefault="00833BB0" w:rsidP="00FD77C2">
            <w:pPr>
              <w:rPr>
                <w:b/>
                <w:sz w:val="28"/>
                <w:szCs w:val="28"/>
              </w:rPr>
            </w:pPr>
            <w:r w:rsidRPr="00EC4C3D">
              <w:rPr>
                <w:b/>
                <w:sz w:val="28"/>
                <w:szCs w:val="28"/>
              </w:rPr>
              <w:t>Procedure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E0E0E0"/>
          </w:tcPr>
          <w:p w14:paraId="7E223FBE" w14:textId="77777777" w:rsidR="00833BB0" w:rsidRPr="00EC4C3D" w:rsidRDefault="00833BB0" w:rsidP="00FD77C2">
            <w:pPr>
              <w:rPr>
                <w:b/>
                <w:sz w:val="28"/>
                <w:szCs w:val="28"/>
              </w:rPr>
            </w:pPr>
            <w:r w:rsidRPr="00EC4C3D">
              <w:rPr>
                <w:b/>
                <w:sz w:val="28"/>
                <w:szCs w:val="28"/>
              </w:rPr>
              <w:t>Comments</w:t>
            </w:r>
          </w:p>
        </w:tc>
      </w:tr>
      <w:tr w:rsidR="00833BB0" w:rsidRPr="00EC4C3D" w14:paraId="463C5E91" w14:textId="77777777" w:rsidTr="00FD77C2">
        <w:tc>
          <w:tcPr>
            <w:tcW w:w="5508" w:type="dxa"/>
            <w:shd w:val="clear" w:color="auto" w:fill="auto"/>
          </w:tcPr>
          <w:p w14:paraId="73C7EBB6" w14:textId="77777777" w:rsidR="00833BB0" w:rsidRPr="00EC4C3D" w:rsidRDefault="00833BB0" w:rsidP="00833BB0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 xml:space="preserve">Determine whether the bank receives </w:t>
            </w:r>
            <w:r>
              <w:rPr>
                <w:sz w:val="22"/>
                <w:szCs w:val="22"/>
              </w:rPr>
              <w:t xml:space="preserve">or distributes </w:t>
            </w:r>
            <w:r w:rsidRPr="00EC4C3D">
              <w:rPr>
                <w:sz w:val="22"/>
                <w:szCs w:val="22"/>
              </w:rPr>
              <w:t xml:space="preserve">shipments of bulk currency. </w:t>
            </w:r>
          </w:p>
        </w:tc>
        <w:tc>
          <w:tcPr>
            <w:tcW w:w="5508" w:type="dxa"/>
            <w:shd w:val="clear" w:color="auto" w:fill="auto"/>
          </w:tcPr>
          <w:p w14:paraId="57AA95A9" w14:textId="77777777" w:rsidR="00833BB0" w:rsidRPr="00EC4C3D" w:rsidRDefault="00833BB0" w:rsidP="00FD77C2">
            <w:pPr>
              <w:rPr>
                <w:sz w:val="22"/>
                <w:szCs w:val="22"/>
              </w:rPr>
            </w:pPr>
          </w:p>
        </w:tc>
      </w:tr>
      <w:tr w:rsidR="00833BB0" w:rsidRPr="00EC4C3D" w14:paraId="6CE9EEF9" w14:textId="77777777" w:rsidTr="00FD77C2">
        <w:tc>
          <w:tcPr>
            <w:tcW w:w="5508" w:type="dxa"/>
            <w:shd w:val="clear" w:color="auto" w:fill="auto"/>
          </w:tcPr>
          <w:p w14:paraId="1504C947" w14:textId="77777777" w:rsidR="00833BB0" w:rsidRDefault="00833BB0" w:rsidP="00833BB0">
            <w:pPr>
              <w:numPr>
                <w:ilvl w:val="0"/>
                <w:numId w:val="28"/>
              </w:numPr>
            </w:pPr>
            <w:r w:rsidRPr="00EC4C3D">
              <w:rPr>
                <w:sz w:val="22"/>
                <w:szCs w:val="22"/>
              </w:rPr>
              <w:t>Review for adequacy the policies, procedures, and processes related to receiving shipments of bulk currency</w:t>
            </w:r>
            <w:r>
              <w:rPr>
                <w:sz w:val="22"/>
                <w:szCs w:val="22"/>
              </w:rPr>
              <w:t xml:space="preserve"> for adequacy</w:t>
            </w:r>
            <w:r w:rsidRPr="00EC4C3D">
              <w:rPr>
                <w:sz w:val="22"/>
                <w:szCs w:val="22"/>
              </w:rPr>
              <w:t xml:space="preserve">, given the activity and the risks presented. </w:t>
            </w:r>
          </w:p>
        </w:tc>
        <w:tc>
          <w:tcPr>
            <w:tcW w:w="5508" w:type="dxa"/>
            <w:shd w:val="clear" w:color="auto" w:fill="auto"/>
          </w:tcPr>
          <w:p w14:paraId="73AA7225" w14:textId="77777777" w:rsidR="00833BB0" w:rsidRPr="00EC4C3D" w:rsidRDefault="00833BB0" w:rsidP="00FD77C2">
            <w:pPr>
              <w:rPr>
                <w:sz w:val="22"/>
                <w:szCs w:val="22"/>
              </w:rPr>
            </w:pPr>
          </w:p>
        </w:tc>
      </w:tr>
      <w:tr w:rsidR="00833BB0" w:rsidRPr="00EC4C3D" w14:paraId="28AEC16E" w14:textId="77777777" w:rsidTr="00FD77C2">
        <w:tc>
          <w:tcPr>
            <w:tcW w:w="5508" w:type="dxa"/>
            <w:shd w:val="clear" w:color="auto" w:fill="auto"/>
          </w:tcPr>
          <w:p w14:paraId="6581B845" w14:textId="77777777" w:rsidR="00833BB0" w:rsidRDefault="00833BB0" w:rsidP="00833BB0">
            <w:pPr>
              <w:numPr>
                <w:ilvl w:val="0"/>
                <w:numId w:val="28"/>
              </w:numPr>
            </w:pPr>
            <w:r w:rsidRPr="00EC4C3D">
              <w:rPr>
                <w:sz w:val="22"/>
                <w:szCs w:val="22"/>
              </w:rPr>
              <w:t xml:space="preserve">Review the list of </w:t>
            </w:r>
            <w:r>
              <w:rPr>
                <w:sz w:val="22"/>
                <w:szCs w:val="22"/>
              </w:rPr>
              <w:t>c</w:t>
            </w:r>
            <w:r w:rsidRPr="00EC4C3D">
              <w:rPr>
                <w:sz w:val="22"/>
                <w:szCs w:val="22"/>
              </w:rPr>
              <w:t xml:space="preserve">urrency </w:t>
            </w:r>
            <w:r>
              <w:rPr>
                <w:sz w:val="22"/>
                <w:szCs w:val="22"/>
              </w:rPr>
              <w:t>o</w:t>
            </w:r>
            <w:r w:rsidRPr="00EC4C3D">
              <w:rPr>
                <w:sz w:val="22"/>
                <w:szCs w:val="22"/>
              </w:rPr>
              <w:t>riginators</w:t>
            </w:r>
            <w:r>
              <w:rPr>
                <w:sz w:val="22"/>
                <w:szCs w:val="22"/>
              </w:rPr>
              <w:t>, shippers,</w:t>
            </w:r>
            <w:r w:rsidRPr="00EC4C3D">
              <w:rPr>
                <w:sz w:val="22"/>
                <w:szCs w:val="22"/>
              </w:rPr>
              <w:t xml:space="preserve"> and </w:t>
            </w:r>
            <w:r>
              <w:rPr>
                <w:sz w:val="22"/>
                <w:szCs w:val="22"/>
              </w:rPr>
              <w:t>i</w:t>
            </w:r>
            <w:r w:rsidRPr="00EC4C3D">
              <w:rPr>
                <w:sz w:val="22"/>
                <w:szCs w:val="22"/>
              </w:rPr>
              <w:t xml:space="preserve">ntermediaries that send bulk currency shipments to the bank. </w:t>
            </w:r>
          </w:p>
        </w:tc>
        <w:tc>
          <w:tcPr>
            <w:tcW w:w="5508" w:type="dxa"/>
            <w:shd w:val="clear" w:color="auto" w:fill="auto"/>
          </w:tcPr>
          <w:p w14:paraId="3C872BF9" w14:textId="77777777" w:rsidR="00833BB0" w:rsidRPr="00EC4C3D" w:rsidRDefault="00833BB0" w:rsidP="00FD77C2">
            <w:pPr>
              <w:rPr>
                <w:sz w:val="22"/>
                <w:szCs w:val="22"/>
              </w:rPr>
            </w:pPr>
          </w:p>
        </w:tc>
      </w:tr>
      <w:tr w:rsidR="00833BB0" w:rsidRPr="00EC4C3D" w14:paraId="4E31A4CB" w14:textId="77777777" w:rsidTr="00FD77C2">
        <w:tc>
          <w:tcPr>
            <w:tcW w:w="5508" w:type="dxa"/>
            <w:shd w:val="clear" w:color="auto" w:fill="auto"/>
          </w:tcPr>
          <w:p w14:paraId="533F67DC" w14:textId="77777777" w:rsidR="00833BB0" w:rsidRDefault="00833BB0" w:rsidP="00833BB0">
            <w:pPr>
              <w:numPr>
                <w:ilvl w:val="0"/>
                <w:numId w:val="28"/>
              </w:numPr>
            </w:pPr>
            <w:r w:rsidRPr="00EC4C3D">
              <w:rPr>
                <w:sz w:val="22"/>
                <w:szCs w:val="22"/>
              </w:rPr>
              <w:t xml:space="preserve">Determine whether management has assessed the risks associated with receiving bulk currency shipments from particular </w:t>
            </w:r>
            <w:r>
              <w:rPr>
                <w:sz w:val="22"/>
                <w:szCs w:val="22"/>
              </w:rPr>
              <w:t>c</w:t>
            </w:r>
            <w:r w:rsidRPr="00EC4C3D">
              <w:rPr>
                <w:sz w:val="22"/>
                <w:szCs w:val="22"/>
              </w:rPr>
              <w:t xml:space="preserve">urrency </w:t>
            </w:r>
            <w:r>
              <w:rPr>
                <w:sz w:val="22"/>
                <w:szCs w:val="22"/>
              </w:rPr>
              <w:t>o</w:t>
            </w:r>
            <w:r w:rsidRPr="00EC4C3D">
              <w:rPr>
                <w:sz w:val="22"/>
                <w:szCs w:val="22"/>
              </w:rPr>
              <w:t>riginators</w:t>
            </w:r>
            <w:r>
              <w:rPr>
                <w:sz w:val="22"/>
                <w:szCs w:val="22"/>
              </w:rPr>
              <w:t>, shippers,</w:t>
            </w:r>
            <w:r w:rsidRPr="00EC4C3D">
              <w:rPr>
                <w:sz w:val="22"/>
                <w:szCs w:val="22"/>
              </w:rPr>
              <w:t xml:space="preserve"> and </w:t>
            </w:r>
            <w:r>
              <w:rPr>
                <w:sz w:val="22"/>
                <w:szCs w:val="22"/>
              </w:rPr>
              <w:t>i</w:t>
            </w:r>
            <w:r w:rsidRPr="00EC4C3D">
              <w:rPr>
                <w:sz w:val="22"/>
                <w:szCs w:val="22"/>
              </w:rPr>
              <w:t xml:space="preserve">ntermediaries.  Consider the source of the </w:t>
            </w:r>
            <w:r>
              <w:rPr>
                <w:sz w:val="22"/>
                <w:szCs w:val="22"/>
              </w:rPr>
              <w:t>c</w:t>
            </w:r>
            <w:r w:rsidRPr="00EC4C3D">
              <w:rPr>
                <w:sz w:val="22"/>
                <w:szCs w:val="22"/>
              </w:rPr>
              <w:t xml:space="preserve">urrency </w:t>
            </w:r>
            <w:r>
              <w:rPr>
                <w:sz w:val="22"/>
                <w:szCs w:val="22"/>
              </w:rPr>
              <w:t>o</w:t>
            </w:r>
            <w:r w:rsidRPr="00EC4C3D">
              <w:rPr>
                <w:sz w:val="22"/>
                <w:szCs w:val="22"/>
              </w:rPr>
              <w:t>riginator</w:t>
            </w:r>
            <w:r>
              <w:rPr>
                <w:sz w:val="22"/>
                <w:szCs w:val="22"/>
              </w:rPr>
              <w:t>, shipper,</w:t>
            </w:r>
            <w:r w:rsidRPr="00EC4C3D">
              <w:rPr>
                <w:sz w:val="22"/>
                <w:szCs w:val="22"/>
              </w:rPr>
              <w:t xml:space="preserve"> or </w:t>
            </w:r>
            <w:r>
              <w:rPr>
                <w:sz w:val="22"/>
                <w:szCs w:val="22"/>
              </w:rPr>
              <w:t>i</w:t>
            </w:r>
            <w:r w:rsidRPr="00EC4C3D">
              <w:rPr>
                <w:sz w:val="22"/>
                <w:szCs w:val="22"/>
              </w:rPr>
              <w:t>ntermediary’s currency and the reasonableness of transaction volumes.  Assess the adequacy of the risk-assessment methodology.</w:t>
            </w:r>
          </w:p>
        </w:tc>
        <w:tc>
          <w:tcPr>
            <w:tcW w:w="5508" w:type="dxa"/>
            <w:shd w:val="clear" w:color="auto" w:fill="auto"/>
          </w:tcPr>
          <w:p w14:paraId="42804707" w14:textId="77777777" w:rsidR="00833BB0" w:rsidRPr="00EC4C3D" w:rsidRDefault="00833BB0" w:rsidP="00FD77C2">
            <w:pPr>
              <w:rPr>
                <w:sz w:val="22"/>
                <w:szCs w:val="22"/>
              </w:rPr>
            </w:pPr>
          </w:p>
        </w:tc>
      </w:tr>
      <w:tr w:rsidR="00833BB0" w:rsidRPr="00EC4C3D" w14:paraId="516BA073" w14:textId="77777777" w:rsidTr="00FD77C2">
        <w:tc>
          <w:tcPr>
            <w:tcW w:w="5508" w:type="dxa"/>
            <w:shd w:val="clear" w:color="auto" w:fill="auto"/>
          </w:tcPr>
          <w:p w14:paraId="618BE400" w14:textId="77777777" w:rsidR="00833BB0" w:rsidRDefault="00833BB0" w:rsidP="00833BB0">
            <w:pPr>
              <w:numPr>
                <w:ilvl w:val="0"/>
                <w:numId w:val="28"/>
              </w:numPr>
            </w:pPr>
            <w:r w:rsidRPr="00EC4C3D">
              <w:rPr>
                <w:sz w:val="22"/>
                <w:szCs w:val="22"/>
              </w:rPr>
              <w:t xml:space="preserve">From a review of MIS and internal risk-rating factors, determine whether the bank effectively identifies and monitors relationships with </w:t>
            </w:r>
            <w:r>
              <w:rPr>
                <w:sz w:val="22"/>
                <w:szCs w:val="22"/>
              </w:rPr>
              <w:t>c</w:t>
            </w:r>
            <w:r w:rsidRPr="00EC4C3D">
              <w:rPr>
                <w:sz w:val="22"/>
                <w:szCs w:val="22"/>
              </w:rPr>
              <w:t xml:space="preserve">urrency </w:t>
            </w:r>
            <w:r>
              <w:rPr>
                <w:sz w:val="22"/>
                <w:szCs w:val="22"/>
              </w:rPr>
              <w:t>o</w:t>
            </w:r>
            <w:r w:rsidRPr="00EC4C3D">
              <w:rPr>
                <w:sz w:val="22"/>
                <w:szCs w:val="22"/>
              </w:rPr>
              <w:t xml:space="preserve">riginators and </w:t>
            </w:r>
            <w:r>
              <w:rPr>
                <w:sz w:val="22"/>
                <w:szCs w:val="22"/>
              </w:rPr>
              <w:t>i</w:t>
            </w:r>
            <w:r w:rsidRPr="00EC4C3D">
              <w:rPr>
                <w:sz w:val="22"/>
                <w:szCs w:val="22"/>
              </w:rPr>
              <w:t xml:space="preserve">ntermediaries, particularly those that pose a higher risk for money laundering or terrorist financing. </w:t>
            </w:r>
          </w:p>
        </w:tc>
        <w:tc>
          <w:tcPr>
            <w:tcW w:w="5508" w:type="dxa"/>
            <w:shd w:val="clear" w:color="auto" w:fill="auto"/>
          </w:tcPr>
          <w:p w14:paraId="4EB6AF30" w14:textId="77777777" w:rsidR="00833BB0" w:rsidRPr="00EC4C3D" w:rsidRDefault="00833BB0" w:rsidP="00FD77C2">
            <w:pPr>
              <w:rPr>
                <w:sz w:val="22"/>
                <w:szCs w:val="22"/>
              </w:rPr>
            </w:pPr>
          </w:p>
        </w:tc>
      </w:tr>
      <w:tr w:rsidR="00833BB0" w:rsidRPr="00EC4C3D" w14:paraId="2918E0DE" w14:textId="77777777" w:rsidTr="00FD77C2">
        <w:tc>
          <w:tcPr>
            <w:tcW w:w="5508" w:type="dxa"/>
            <w:shd w:val="clear" w:color="auto" w:fill="auto"/>
          </w:tcPr>
          <w:p w14:paraId="28F737B7" w14:textId="77777777" w:rsidR="00833BB0" w:rsidRDefault="00833BB0" w:rsidP="00833BB0">
            <w:pPr>
              <w:numPr>
                <w:ilvl w:val="0"/>
                <w:numId w:val="28"/>
              </w:numPr>
            </w:pPr>
            <w:r w:rsidRPr="00EC4C3D">
              <w:rPr>
                <w:sz w:val="22"/>
                <w:szCs w:val="22"/>
              </w:rPr>
              <w:t xml:space="preserve">If the bank has a standardized agreement or contract with </w:t>
            </w:r>
            <w:r>
              <w:rPr>
                <w:sz w:val="22"/>
                <w:szCs w:val="22"/>
              </w:rPr>
              <w:t>c</w:t>
            </w:r>
            <w:r w:rsidRPr="00EC4C3D">
              <w:rPr>
                <w:sz w:val="22"/>
                <w:szCs w:val="22"/>
              </w:rPr>
              <w:t xml:space="preserve">urrency </w:t>
            </w:r>
            <w:r>
              <w:rPr>
                <w:sz w:val="22"/>
                <w:szCs w:val="22"/>
              </w:rPr>
              <w:t>o</w:t>
            </w:r>
            <w:r w:rsidRPr="00EC4C3D">
              <w:rPr>
                <w:sz w:val="22"/>
                <w:szCs w:val="22"/>
              </w:rPr>
              <w:t>riginators</w:t>
            </w:r>
            <w:r>
              <w:rPr>
                <w:sz w:val="22"/>
                <w:szCs w:val="22"/>
              </w:rPr>
              <w:t>, shippers, i</w:t>
            </w:r>
            <w:r w:rsidRPr="00EC4C3D">
              <w:rPr>
                <w:sz w:val="22"/>
                <w:szCs w:val="22"/>
              </w:rPr>
              <w:t xml:space="preserve">ntermediaries, </w:t>
            </w:r>
            <w:r>
              <w:rPr>
                <w:sz w:val="22"/>
                <w:szCs w:val="22"/>
              </w:rPr>
              <w:t xml:space="preserve">and/or established common carriers, </w:t>
            </w:r>
            <w:r w:rsidRPr="00EC4C3D">
              <w:rPr>
                <w:sz w:val="22"/>
                <w:szCs w:val="22"/>
              </w:rPr>
              <w:t xml:space="preserve">review a sample agreement or contract to determine whether each party’s responsibilities, products, and services provided, and allowable </w:t>
            </w:r>
            <w:r>
              <w:rPr>
                <w:sz w:val="22"/>
                <w:szCs w:val="22"/>
              </w:rPr>
              <w:t>use of the relationship by third parties</w:t>
            </w:r>
            <w:r w:rsidRPr="00EC4C3D">
              <w:rPr>
                <w:sz w:val="22"/>
                <w:szCs w:val="22"/>
              </w:rPr>
              <w:t xml:space="preserve">, including the parties’ BSA/AML responsibilities, are covered.  If the bank does not have a standardized agreement or contract, refer to the transaction testing examination procedures below. </w:t>
            </w:r>
          </w:p>
        </w:tc>
        <w:tc>
          <w:tcPr>
            <w:tcW w:w="5508" w:type="dxa"/>
            <w:shd w:val="clear" w:color="auto" w:fill="auto"/>
          </w:tcPr>
          <w:p w14:paraId="2F213C73" w14:textId="77777777" w:rsidR="00833BB0" w:rsidRPr="00EC4C3D" w:rsidRDefault="00833BB0" w:rsidP="00FD77C2">
            <w:pPr>
              <w:rPr>
                <w:sz w:val="22"/>
                <w:szCs w:val="22"/>
              </w:rPr>
            </w:pPr>
          </w:p>
        </w:tc>
      </w:tr>
      <w:tr w:rsidR="00833BB0" w:rsidRPr="00EC4C3D" w14:paraId="502BF1A8" w14:textId="77777777" w:rsidTr="00FD77C2">
        <w:tc>
          <w:tcPr>
            <w:tcW w:w="5508" w:type="dxa"/>
            <w:shd w:val="clear" w:color="auto" w:fill="auto"/>
          </w:tcPr>
          <w:p w14:paraId="3A777D5D" w14:textId="77777777" w:rsidR="00833BB0" w:rsidRPr="00EC4C3D" w:rsidRDefault="00833BB0" w:rsidP="00833BB0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Determine whether the bank files required BSA reports (e.g., CTRs or CMIRs), if applicable.</w:t>
            </w:r>
          </w:p>
        </w:tc>
        <w:tc>
          <w:tcPr>
            <w:tcW w:w="5508" w:type="dxa"/>
            <w:shd w:val="clear" w:color="auto" w:fill="auto"/>
          </w:tcPr>
          <w:p w14:paraId="15113506" w14:textId="77777777" w:rsidR="00833BB0" w:rsidRPr="00EC4C3D" w:rsidRDefault="00833BB0" w:rsidP="00FD77C2">
            <w:pPr>
              <w:rPr>
                <w:sz w:val="22"/>
                <w:szCs w:val="22"/>
              </w:rPr>
            </w:pPr>
          </w:p>
        </w:tc>
      </w:tr>
      <w:tr w:rsidR="00833BB0" w:rsidRPr="00EC4C3D" w14:paraId="36D7EF22" w14:textId="77777777" w:rsidTr="00FD77C2">
        <w:tc>
          <w:tcPr>
            <w:tcW w:w="5508" w:type="dxa"/>
            <w:shd w:val="clear" w:color="auto" w:fill="auto"/>
          </w:tcPr>
          <w:p w14:paraId="40E2A900" w14:textId="77777777" w:rsidR="00833BB0" w:rsidRDefault="00833BB0" w:rsidP="00833BB0">
            <w:pPr>
              <w:numPr>
                <w:ilvl w:val="0"/>
                <w:numId w:val="28"/>
              </w:numPr>
            </w:pPr>
            <w:r w:rsidRPr="00EC4C3D">
              <w:rPr>
                <w:sz w:val="22"/>
                <w:szCs w:val="22"/>
              </w:rPr>
              <w:t>Determine whether the bank’s system for monitoring and reporting suspicious activities related to shipping relationships and transactions is adequate given the bank’s size, complexity, location, and types of customer</w:t>
            </w:r>
            <w:r w:rsidRPr="00A64400">
              <w:t xml:space="preserve"> relationships. </w:t>
            </w:r>
          </w:p>
        </w:tc>
        <w:tc>
          <w:tcPr>
            <w:tcW w:w="5508" w:type="dxa"/>
            <w:shd w:val="clear" w:color="auto" w:fill="auto"/>
          </w:tcPr>
          <w:p w14:paraId="527A3F36" w14:textId="77777777" w:rsidR="00833BB0" w:rsidRPr="00EC4C3D" w:rsidRDefault="00833BB0" w:rsidP="00FD77C2">
            <w:pPr>
              <w:rPr>
                <w:sz w:val="22"/>
                <w:szCs w:val="22"/>
              </w:rPr>
            </w:pPr>
          </w:p>
        </w:tc>
      </w:tr>
      <w:tr w:rsidR="00833BB0" w:rsidRPr="00EC4C3D" w14:paraId="34EE5212" w14:textId="77777777" w:rsidTr="00FD77C2">
        <w:tc>
          <w:tcPr>
            <w:tcW w:w="5508" w:type="dxa"/>
            <w:shd w:val="clear" w:color="auto" w:fill="auto"/>
          </w:tcPr>
          <w:p w14:paraId="14FDB024" w14:textId="77777777" w:rsidR="00833BB0" w:rsidRDefault="00833BB0" w:rsidP="00833BB0">
            <w:pPr>
              <w:numPr>
                <w:ilvl w:val="0"/>
                <w:numId w:val="28"/>
              </w:numPr>
            </w:pPr>
            <w:r w:rsidRPr="00EC4C3D">
              <w:rPr>
                <w:sz w:val="22"/>
                <w:szCs w:val="22"/>
              </w:rPr>
              <w:t xml:space="preserve">Determine whether the bank is monitoring for expected versus actual shipping volumes and taking </w:t>
            </w:r>
            <w:r w:rsidRPr="00EC4C3D">
              <w:rPr>
                <w:sz w:val="22"/>
                <w:szCs w:val="22"/>
              </w:rPr>
              <w:lastRenderedPageBreak/>
              <w:t>action in response to unusual or inordinate increase in volumes</w:t>
            </w:r>
            <w:r>
              <w:rPr>
                <w:sz w:val="22"/>
                <w:szCs w:val="22"/>
              </w:rPr>
              <w:t xml:space="preserve"> or patterns</w:t>
            </w:r>
            <w:r w:rsidRPr="00EC4C3D">
              <w:rPr>
                <w:sz w:val="22"/>
                <w:szCs w:val="22"/>
              </w:rPr>
              <w:t>.</w:t>
            </w:r>
          </w:p>
        </w:tc>
        <w:tc>
          <w:tcPr>
            <w:tcW w:w="5508" w:type="dxa"/>
            <w:shd w:val="clear" w:color="auto" w:fill="auto"/>
          </w:tcPr>
          <w:p w14:paraId="635AFED0" w14:textId="77777777" w:rsidR="00833BB0" w:rsidRPr="00EC4C3D" w:rsidRDefault="00833BB0" w:rsidP="00FD77C2">
            <w:pPr>
              <w:rPr>
                <w:sz w:val="22"/>
                <w:szCs w:val="22"/>
              </w:rPr>
            </w:pPr>
          </w:p>
        </w:tc>
      </w:tr>
      <w:tr w:rsidR="00833BB0" w:rsidRPr="00EC4C3D" w14:paraId="6DEC9C03" w14:textId="77777777" w:rsidTr="00FD77C2">
        <w:tc>
          <w:tcPr>
            <w:tcW w:w="11016" w:type="dxa"/>
            <w:gridSpan w:val="2"/>
            <w:shd w:val="clear" w:color="auto" w:fill="auto"/>
          </w:tcPr>
          <w:p w14:paraId="35CF5495" w14:textId="77777777" w:rsidR="00833BB0" w:rsidRPr="00EC4C3D" w:rsidRDefault="00833BB0" w:rsidP="00FD77C2">
            <w:pPr>
              <w:rPr>
                <w:b/>
                <w:sz w:val="28"/>
                <w:szCs w:val="28"/>
              </w:rPr>
            </w:pPr>
            <w:r w:rsidRPr="00EC4C3D">
              <w:rPr>
                <w:b/>
                <w:sz w:val="28"/>
                <w:szCs w:val="28"/>
              </w:rPr>
              <w:t>Transaction Testing</w:t>
            </w:r>
          </w:p>
        </w:tc>
      </w:tr>
      <w:tr w:rsidR="00833BB0" w:rsidRPr="00EC4C3D" w14:paraId="6FE989E7" w14:textId="77777777" w:rsidTr="00FD77C2">
        <w:tc>
          <w:tcPr>
            <w:tcW w:w="5508" w:type="dxa"/>
            <w:shd w:val="clear" w:color="auto" w:fill="auto"/>
          </w:tcPr>
          <w:p w14:paraId="292A0EA9" w14:textId="77777777" w:rsidR="00833BB0" w:rsidRPr="00EC4C3D" w:rsidRDefault="00833BB0" w:rsidP="00833BB0">
            <w:pPr>
              <w:numPr>
                <w:ilvl w:val="0"/>
                <w:numId w:val="28"/>
              </w:numPr>
              <w:rPr>
                <w:b/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 xml:space="preserve">Based on the bank’s risk assessment of its relationships with </w:t>
            </w:r>
            <w:r>
              <w:rPr>
                <w:sz w:val="22"/>
                <w:szCs w:val="22"/>
              </w:rPr>
              <w:t>c</w:t>
            </w:r>
            <w:r w:rsidRPr="00EC4C3D">
              <w:rPr>
                <w:sz w:val="22"/>
                <w:szCs w:val="22"/>
              </w:rPr>
              <w:t xml:space="preserve">urrency </w:t>
            </w:r>
            <w:r>
              <w:rPr>
                <w:sz w:val="22"/>
                <w:szCs w:val="22"/>
              </w:rPr>
              <w:t>originators, shippers, and intermediaries, a</w:t>
            </w:r>
            <w:r w:rsidRPr="00EC4C3D">
              <w:rPr>
                <w:sz w:val="22"/>
                <w:szCs w:val="22"/>
              </w:rPr>
              <w:t xml:space="preserve">s well as prior examination and audit reports, select a sample of </w:t>
            </w:r>
            <w:r>
              <w:rPr>
                <w:sz w:val="22"/>
                <w:szCs w:val="22"/>
              </w:rPr>
              <w:t>c</w:t>
            </w:r>
            <w:r w:rsidRPr="00EC4C3D">
              <w:rPr>
                <w:sz w:val="22"/>
                <w:szCs w:val="22"/>
              </w:rPr>
              <w:t xml:space="preserve">urrency </w:t>
            </w:r>
            <w:r>
              <w:rPr>
                <w:sz w:val="22"/>
                <w:szCs w:val="22"/>
              </w:rPr>
              <w:t>o</w:t>
            </w:r>
            <w:r w:rsidRPr="00EC4C3D">
              <w:rPr>
                <w:sz w:val="22"/>
                <w:szCs w:val="22"/>
              </w:rPr>
              <w:t>riginators</w:t>
            </w:r>
            <w:r>
              <w:rPr>
                <w:sz w:val="22"/>
                <w:szCs w:val="22"/>
              </w:rPr>
              <w:t>, shippers,</w:t>
            </w:r>
            <w:r w:rsidRPr="00EC4C3D">
              <w:rPr>
                <w:sz w:val="22"/>
                <w:szCs w:val="22"/>
              </w:rPr>
              <w:t xml:space="preserve"> or </w:t>
            </w:r>
            <w:r>
              <w:rPr>
                <w:sz w:val="22"/>
                <w:szCs w:val="22"/>
              </w:rPr>
              <w:t>i</w:t>
            </w:r>
            <w:r w:rsidRPr="00EC4C3D">
              <w:rPr>
                <w:sz w:val="22"/>
                <w:szCs w:val="22"/>
              </w:rPr>
              <w:t xml:space="preserve">ntermediaries and recent bulk currency shipments.  The sample should include relationships with </w:t>
            </w:r>
            <w:r>
              <w:rPr>
                <w:sz w:val="22"/>
                <w:szCs w:val="22"/>
              </w:rPr>
              <w:t>c</w:t>
            </w:r>
            <w:r w:rsidRPr="00EC4C3D">
              <w:rPr>
                <w:sz w:val="22"/>
                <w:szCs w:val="22"/>
              </w:rPr>
              <w:t xml:space="preserve">urrency </w:t>
            </w:r>
            <w:r>
              <w:rPr>
                <w:sz w:val="22"/>
                <w:szCs w:val="22"/>
              </w:rPr>
              <w:t>o</w:t>
            </w:r>
            <w:r w:rsidRPr="00EC4C3D">
              <w:rPr>
                <w:sz w:val="22"/>
                <w:szCs w:val="22"/>
              </w:rPr>
              <w:t>riginators</w:t>
            </w:r>
            <w:r>
              <w:rPr>
                <w:sz w:val="22"/>
                <w:szCs w:val="22"/>
              </w:rPr>
              <w:t>, shippers,</w:t>
            </w:r>
            <w:r w:rsidRPr="00EC4C3D">
              <w:rPr>
                <w:sz w:val="22"/>
                <w:szCs w:val="22"/>
              </w:rPr>
              <w:t xml:space="preserve"> and </w:t>
            </w:r>
            <w:r>
              <w:rPr>
                <w:sz w:val="22"/>
                <w:szCs w:val="22"/>
              </w:rPr>
              <w:t>i</w:t>
            </w:r>
            <w:r w:rsidRPr="00EC4C3D">
              <w:rPr>
                <w:sz w:val="22"/>
                <w:szCs w:val="22"/>
              </w:rPr>
              <w:t xml:space="preserve">ntermediaries located in or shipping from, jurisdictions that may pose a higher risk for money laundering and terrorist financing, or that participate in businesses that may pose a higher risk for money laundering and terrorist financing. </w:t>
            </w:r>
          </w:p>
        </w:tc>
        <w:tc>
          <w:tcPr>
            <w:tcW w:w="5508" w:type="dxa"/>
            <w:shd w:val="clear" w:color="auto" w:fill="auto"/>
          </w:tcPr>
          <w:p w14:paraId="4D812EB4" w14:textId="77777777" w:rsidR="00833BB0" w:rsidRPr="00EC4C3D" w:rsidRDefault="00833BB0" w:rsidP="00FD77C2">
            <w:pPr>
              <w:rPr>
                <w:b/>
                <w:sz w:val="28"/>
                <w:szCs w:val="28"/>
              </w:rPr>
            </w:pPr>
          </w:p>
        </w:tc>
      </w:tr>
      <w:tr w:rsidR="00833BB0" w:rsidRPr="00EC4C3D" w14:paraId="746285DD" w14:textId="77777777" w:rsidTr="00FD77C2">
        <w:tc>
          <w:tcPr>
            <w:tcW w:w="5508" w:type="dxa"/>
            <w:shd w:val="clear" w:color="auto" w:fill="auto"/>
          </w:tcPr>
          <w:p w14:paraId="6D5C4CF0" w14:textId="77777777" w:rsidR="00833BB0" w:rsidRPr="00EC4C3D" w:rsidRDefault="00833BB0" w:rsidP="00833BB0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 xml:space="preserve">Preferably on an unannounced basis and over a period of several days, observe the process for accepting shipments of bulk currency.  Review the records and the shipments for irregularities.  From the samples selected, perform the following examination procedures: </w:t>
            </w:r>
          </w:p>
          <w:p w14:paraId="0900944B" w14:textId="77777777" w:rsidR="00833BB0" w:rsidRPr="00EC4C3D" w:rsidRDefault="00833BB0" w:rsidP="00833BB0">
            <w:pPr>
              <w:pStyle w:val="ListParagraph"/>
              <w:numPr>
                <w:ilvl w:val="0"/>
                <w:numId w:val="29"/>
              </w:numPr>
              <w:ind w:left="720"/>
              <w:rPr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>Review for completeness a relationship agreement or contract that delineates each party’s responsibilities and the products and services provided.</w:t>
            </w:r>
          </w:p>
          <w:p w14:paraId="7645B385" w14:textId="77777777" w:rsidR="00833BB0" w:rsidRDefault="00833BB0" w:rsidP="00833BB0">
            <w:pPr>
              <w:pStyle w:val="ListParagraph"/>
              <w:numPr>
                <w:ilvl w:val="0"/>
                <w:numId w:val="29"/>
              </w:numPr>
              <w:ind w:left="720"/>
              <w:rPr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 xml:space="preserve">Review U.S. bank statements of accounts and, as necessary, specific transaction details. </w:t>
            </w:r>
          </w:p>
          <w:p w14:paraId="6B04F0F2" w14:textId="77777777" w:rsidR="00833BB0" w:rsidRDefault="00833BB0" w:rsidP="00833BB0">
            <w:pPr>
              <w:pStyle w:val="Body-BSA-AML"/>
              <w:numPr>
                <w:ilvl w:val="0"/>
                <w:numId w:val="29"/>
              </w:numPr>
              <w:spacing w:after="0"/>
              <w:ind w:left="720"/>
              <w:rPr>
                <w:sz w:val="22"/>
                <w:szCs w:val="22"/>
              </w:rPr>
            </w:pPr>
            <w:r w:rsidRPr="00A9613B">
              <w:rPr>
                <w:sz w:val="22"/>
                <w:szCs w:val="22"/>
              </w:rPr>
              <w:t>Review vault control records for bulk currency shipment transactions (in and out) to identify large denomination activity as a result of small denomination exchanges.</w:t>
            </w:r>
          </w:p>
          <w:p w14:paraId="379C6907" w14:textId="77777777" w:rsidR="00833BB0" w:rsidRPr="00A9613B" w:rsidRDefault="00833BB0" w:rsidP="00833BB0">
            <w:pPr>
              <w:pStyle w:val="Body-BSA-AML"/>
              <w:numPr>
                <w:ilvl w:val="0"/>
                <w:numId w:val="29"/>
              </w:numPr>
              <w:spacing w:after="0"/>
              <w:ind w:left="720"/>
              <w:rPr>
                <w:sz w:val="22"/>
                <w:szCs w:val="22"/>
              </w:rPr>
            </w:pPr>
            <w:r w:rsidRPr="00A9613B">
              <w:rPr>
                <w:sz w:val="22"/>
                <w:szCs w:val="22"/>
              </w:rPr>
              <w:t xml:space="preserve">Assess the reasonableness of customer due diligence and enhanced due diligence information pertaining to the sampled </w:t>
            </w:r>
            <w:r>
              <w:rPr>
                <w:sz w:val="22"/>
                <w:szCs w:val="22"/>
              </w:rPr>
              <w:t>c</w:t>
            </w:r>
            <w:r w:rsidRPr="00A9613B">
              <w:rPr>
                <w:sz w:val="22"/>
                <w:szCs w:val="22"/>
              </w:rPr>
              <w:t xml:space="preserve">urrency </w:t>
            </w:r>
            <w:r>
              <w:rPr>
                <w:sz w:val="22"/>
                <w:szCs w:val="22"/>
              </w:rPr>
              <w:t>o</w:t>
            </w:r>
            <w:r w:rsidRPr="00A9613B">
              <w:rPr>
                <w:sz w:val="22"/>
                <w:szCs w:val="22"/>
              </w:rPr>
              <w:t>riginators</w:t>
            </w:r>
            <w:r>
              <w:rPr>
                <w:sz w:val="22"/>
                <w:szCs w:val="22"/>
              </w:rPr>
              <w:t>, shippers,</w:t>
            </w:r>
            <w:r w:rsidRPr="00A9613B">
              <w:rPr>
                <w:sz w:val="22"/>
                <w:szCs w:val="22"/>
              </w:rPr>
              <w:t xml:space="preserve"> and </w:t>
            </w:r>
            <w:r>
              <w:rPr>
                <w:sz w:val="22"/>
                <w:szCs w:val="22"/>
              </w:rPr>
              <w:t>i</w:t>
            </w:r>
            <w:r w:rsidRPr="00A9613B">
              <w:rPr>
                <w:sz w:val="22"/>
                <w:szCs w:val="22"/>
              </w:rPr>
              <w:t xml:space="preserve">ntermediaries. </w:t>
            </w:r>
          </w:p>
          <w:p w14:paraId="067607CA" w14:textId="77777777" w:rsidR="00833BB0" w:rsidRPr="00EC4C3D" w:rsidRDefault="00833BB0" w:rsidP="00833BB0">
            <w:pPr>
              <w:pStyle w:val="ListParagraph"/>
              <w:numPr>
                <w:ilvl w:val="0"/>
                <w:numId w:val="29"/>
              </w:numPr>
              <w:ind w:left="720"/>
              <w:rPr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 xml:space="preserve">Determine whether the nature, volume, and frequency of activity </w:t>
            </w:r>
            <w:r>
              <w:rPr>
                <w:sz w:val="22"/>
                <w:szCs w:val="22"/>
              </w:rPr>
              <w:t>are</w:t>
            </w:r>
            <w:r w:rsidRPr="00EC4C3D">
              <w:rPr>
                <w:sz w:val="22"/>
                <w:szCs w:val="22"/>
              </w:rPr>
              <w:t xml:space="preserve"> consistent with the expectations associated with the </w:t>
            </w:r>
            <w:r>
              <w:rPr>
                <w:sz w:val="22"/>
                <w:szCs w:val="22"/>
              </w:rPr>
              <w:t>c</w:t>
            </w:r>
            <w:r w:rsidRPr="00EC4C3D">
              <w:rPr>
                <w:sz w:val="22"/>
                <w:szCs w:val="22"/>
              </w:rPr>
              <w:t xml:space="preserve">urrency </w:t>
            </w:r>
            <w:r>
              <w:rPr>
                <w:sz w:val="22"/>
                <w:szCs w:val="22"/>
              </w:rPr>
              <w:t>o</w:t>
            </w:r>
            <w:r w:rsidRPr="00EC4C3D">
              <w:rPr>
                <w:sz w:val="22"/>
                <w:szCs w:val="22"/>
              </w:rPr>
              <w:t>riginator</w:t>
            </w:r>
            <w:r>
              <w:rPr>
                <w:sz w:val="22"/>
                <w:szCs w:val="22"/>
              </w:rPr>
              <w:t>, shipper,</w:t>
            </w:r>
            <w:r w:rsidRPr="00EC4C3D">
              <w:rPr>
                <w:sz w:val="22"/>
                <w:szCs w:val="22"/>
              </w:rPr>
              <w:t xml:space="preserve"> and </w:t>
            </w:r>
            <w:r>
              <w:rPr>
                <w:sz w:val="22"/>
                <w:szCs w:val="22"/>
              </w:rPr>
              <w:t>i</w:t>
            </w:r>
            <w:r w:rsidRPr="00EC4C3D">
              <w:rPr>
                <w:sz w:val="22"/>
                <w:szCs w:val="22"/>
              </w:rPr>
              <w:t xml:space="preserve">ntermediary.  Discuss with bank management any inconsistencies identified.  As necessary, obtain and review copies of credit or debit advices, general ledger tickets, and other supporting documentation.     </w:t>
            </w:r>
          </w:p>
          <w:p w14:paraId="7915867A" w14:textId="77777777" w:rsidR="00833BB0" w:rsidRPr="00EC4C3D" w:rsidRDefault="00833BB0" w:rsidP="00833BB0">
            <w:pPr>
              <w:pStyle w:val="ListParagraph"/>
              <w:numPr>
                <w:ilvl w:val="0"/>
                <w:numId w:val="29"/>
              </w:numPr>
              <w:ind w:left="720"/>
              <w:rPr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 xml:space="preserve">Review unusual transactions and customer due diligence information to determine if transactions are potentially suspicious.  </w:t>
            </w:r>
          </w:p>
          <w:p w14:paraId="49D4FC11" w14:textId="77777777" w:rsidR="00833BB0" w:rsidRPr="00EC4C3D" w:rsidRDefault="00833BB0" w:rsidP="00833BB0">
            <w:pPr>
              <w:pStyle w:val="ListParagraph"/>
              <w:numPr>
                <w:ilvl w:val="0"/>
                <w:numId w:val="29"/>
              </w:numPr>
              <w:ind w:left="720"/>
              <w:rPr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 xml:space="preserve">Discuss preliminary findings and conclusions with bank management.   </w:t>
            </w:r>
          </w:p>
        </w:tc>
        <w:tc>
          <w:tcPr>
            <w:tcW w:w="5508" w:type="dxa"/>
            <w:shd w:val="clear" w:color="auto" w:fill="auto"/>
          </w:tcPr>
          <w:p w14:paraId="0AD6FADC" w14:textId="77777777" w:rsidR="00833BB0" w:rsidRPr="00EC4C3D" w:rsidRDefault="00833BB0" w:rsidP="00FD77C2">
            <w:pPr>
              <w:rPr>
                <w:b/>
                <w:sz w:val="28"/>
                <w:szCs w:val="28"/>
              </w:rPr>
            </w:pPr>
          </w:p>
        </w:tc>
      </w:tr>
      <w:tr w:rsidR="00833BB0" w:rsidRPr="00EC4C3D" w14:paraId="25D5A561" w14:textId="77777777" w:rsidTr="00FD77C2">
        <w:tc>
          <w:tcPr>
            <w:tcW w:w="5508" w:type="dxa"/>
            <w:shd w:val="clear" w:color="auto" w:fill="auto"/>
          </w:tcPr>
          <w:p w14:paraId="02B6551E" w14:textId="77777777" w:rsidR="00833BB0" w:rsidRPr="00EC4C3D" w:rsidRDefault="00833BB0" w:rsidP="00833BB0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 xml:space="preserve">If the </w:t>
            </w:r>
            <w:r>
              <w:rPr>
                <w:sz w:val="22"/>
                <w:szCs w:val="22"/>
              </w:rPr>
              <w:t>c</w:t>
            </w:r>
            <w:r w:rsidRPr="00EC4C3D">
              <w:rPr>
                <w:sz w:val="22"/>
                <w:szCs w:val="22"/>
              </w:rPr>
              <w:t xml:space="preserve">urrency </w:t>
            </w:r>
            <w:r>
              <w:rPr>
                <w:sz w:val="22"/>
                <w:szCs w:val="22"/>
              </w:rPr>
              <w:t>o</w:t>
            </w:r>
            <w:r w:rsidRPr="00EC4C3D">
              <w:rPr>
                <w:sz w:val="22"/>
                <w:szCs w:val="22"/>
              </w:rPr>
              <w:t>riginator</w:t>
            </w:r>
            <w:r>
              <w:rPr>
                <w:sz w:val="22"/>
                <w:szCs w:val="22"/>
              </w:rPr>
              <w:t>, shipper,</w:t>
            </w:r>
            <w:r w:rsidRPr="00EC4C3D">
              <w:rPr>
                <w:sz w:val="22"/>
                <w:szCs w:val="22"/>
              </w:rPr>
              <w:t xml:space="preserve"> or </w:t>
            </w:r>
            <w:r>
              <w:rPr>
                <w:sz w:val="22"/>
                <w:szCs w:val="22"/>
              </w:rPr>
              <w:t>i</w:t>
            </w:r>
            <w:r w:rsidRPr="00EC4C3D">
              <w:rPr>
                <w:sz w:val="22"/>
                <w:szCs w:val="22"/>
              </w:rPr>
              <w:t xml:space="preserve">ntermediary, or the referral agent who works for the </w:t>
            </w:r>
            <w:r>
              <w:rPr>
                <w:sz w:val="22"/>
                <w:szCs w:val="22"/>
              </w:rPr>
              <w:t>c</w:t>
            </w:r>
            <w:r w:rsidRPr="00EC4C3D">
              <w:rPr>
                <w:sz w:val="22"/>
                <w:szCs w:val="22"/>
              </w:rPr>
              <w:t xml:space="preserve">urrency </w:t>
            </w:r>
            <w:r>
              <w:rPr>
                <w:sz w:val="22"/>
                <w:szCs w:val="22"/>
              </w:rPr>
              <w:lastRenderedPageBreak/>
              <w:t>o</w:t>
            </w:r>
            <w:r w:rsidRPr="00EC4C3D">
              <w:rPr>
                <w:sz w:val="22"/>
                <w:szCs w:val="22"/>
              </w:rPr>
              <w:t>riginator</w:t>
            </w:r>
            <w:r>
              <w:rPr>
                <w:sz w:val="22"/>
                <w:szCs w:val="22"/>
              </w:rPr>
              <w:t>, shipper,</w:t>
            </w:r>
            <w:r w:rsidRPr="00EC4C3D">
              <w:rPr>
                <w:sz w:val="22"/>
                <w:szCs w:val="22"/>
              </w:rPr>
              <w:t xml:space="preserve"> or </w:t>
            </w:r>
            <w:r>
              <w:rPr>
                <w:sz w:val="22"/>
                <w:szCs w:val="22"/>
              </w:rPr>
              <w:t>i</w:t>
            </w:r>
            <w:r w:rsidRPr="00EC4C3D">
              <w:rPr>
                <w:sz w:val="22"/>
                <w:szCs w:val="22"/>
              </w:rPr>
              <w:t xml:space="preserve">ntermediary, has an account with the bank, review a sample of account activity. </w:t>
            </w:r>
          </w:p>
        </w:tc>
        <w:tc>
          <w:tcPr>
            <w:tcW w:w="5508" w:type="dxa"/>
            <w:shd w:val="clear" w:color="auto" w:fill="auto"/>
          </w:tcPr>
          <w:p w14:paraId="27EC0DAE" w14:textId="77777777" w:rsidR="00833BB0" w:rsidRPr="00EC4C3D" w:rsidRDefault="00833BB0" w:rsidP="00FD77C2">
            <w:pPr>
              <w:rPr>
                <w:b/>
                <w:sz w:val="28"/>
                <w:szCs w:val="28"/>
              </w:rPr>
            </w:pPr>
          </w:p>
        </w:tc>
      </w:tr>
      <w:tr w:rsidR="00833BB0" w:rsidRPr="00EC4C3D" w14:paraId="168CCC77" w14:textId="77777777" w:rsidTr="00FD77C2">
        <w:tc>
          <w:tcPr>
            <w:tcW w:w="5508" w:type="dxa"/>
            <w:shd w:val="clear" w:color="auto" w:fill="auto"/>
          </w:tcPr>
          <w:p w14:paraId="10364A91" w14:textId="77777777" w:rsidR="00833BB0" w:rsidRPr="00EC4C3D" w:rsidRDefault="00833BB0" w:rsidP="00833BB0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EC4C3D">
              <w:rPr>
                <w:sz w:val="22"/>
                <w:szCs w:val="22"/>
              </w:rPr>
              <w:t xml:space="preserve">Based on the examination procedures completed, including transaction testing, form a conclusion about the adequacy of policies, procedures, and processes associated with the bulk shipment of currency.  </w:t>
            </w:r>
          </w:p>
        </w:tc>
        <w:tc>
          <w:tcPr>
            <w:tcW w:w="5508" w:type="dxa"/>
            <w:shd w:val="clear" w:color="auto" w:fill="auto"/>
          </w:tcPr>
          <w:p w14:paraId="0DD7455E" w14:textId="77777777" w:rsidR="00833BB0" w:rsidRPr="00EC4C3D" w:rsidRDefault="00833BB0" w:rsidP="00FD77C2">
            <w:pPr>
              <w:rPr>
                <w:b/>
                <w:sz w:val="28"/>
                <w:szCs w:val="28"/>
              </w:rPr>
            </w:pPr>
          </w:p>
        </w:tc>
      </w:tr>
    </w:tbl>
    <w:p w14:paraId="44A841C8" w14:textId="77777777" w:rsidR="00666FEA" w:rsidRPr="00833BB0" w:rsidRDefault="00666FEA" w:rsidP="00833BB0">
      <w:bookmarkStart w:id="0" w:name="_GoBack"/>
      <w:bookmarkEnd w:id="0"/>
    </w:p>
    <w:sectPr w:rsidR="00666FEA" w:rsidRPr="00833BB0" w:rsidSect="00C7316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27D98" w14:textId="77777777" w:rsidR="001C597F" w:rsidRDefault="001C597F" w:rsidP="001C597F">
      <w:r>
        <w:separator/>
      </w:r>
    </w:p>
  </w:endnote>
  <w:endnote w:type="continuationSeparator" w:id="0">
    <w:p w14:paraId="5633C99E" w14:textId="77777777" w:rsidR="001C597F" w:rsidRDefault="001C597F" w:rsidP="001C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030374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EDB2F8" w14:textId="7710F3EC" w:rsidR="001C597F" w:rsidRDefault="001C597F" w:rsidP="007326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C0AC88" w14:textId="77777777" w:rsidR="001C597F" w:rsidRDefault="001C597F" w:rsidP="001C597F">
    <w:pPr>
      <w:pStyle w:val="Footer"/>
      <w:ind w:right="360"/>
    </w:pPr>
  </w:p>
  <w:p w14:paraId="41EAB179" w14:textId="77777777" w:rsidR="00000000" w:rsidRDefault="00833B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044211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4FE43D" w14:textId="04593D23" w:rsidR="001C597F" w:rsidRDefault="001C597F" w:rsidP="007326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7244419A" w14:textId="77777777" w:rsidR="00000000" w:rsidRDefault="00833B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9F992" w14:textId="77777777" w:rsidR="001C597F" w:rsidRDefault="001C597F" w:rsidP="001C597F">
      <w:r>
        <w:separator/>
      </w:r>
    </w:p>
  </w:footnote>
  <w:footnote w:type="continuationSeparator" w:id="0">
    <w:p w14:paraId="7EF8D909" w14:textId="77777777" w:rsidR="001C597F" w:rsidRDefault="001C597F" w:rsidP="001C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D1C9F" w14:textId="77777777" w:rsidR="00644539" w:rsidRDefault="00644539">
    <w:pPr>
      <w:pStyle w:val="Header"/>
    </w:pPr>
  </w:p>
  <w:p w14:paraId="480ABDD4" w14:textId="77777777" w:rsidR="00000000" w:rsidRDefault="00833B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3DF3" w14:textId="36B61658" w:rsidR="001C597F" w:rsidRDefault="001C597F" w:rsidP="001C597F">
    <w:pPr>
      <w:pStyle w:val="Header"/>
      <w:jc w:val="right"/>
      <w:rPr>
        <w:sz w:val="22"/>
        <w:szCs w:val="22"/>
      </w:rPr>
    </w:pPr>
    <w:r w:rsidRPr="00DC1BB9">
      <w:rPr>
        <w:sz w:val="22"/>
        <w:szCs w:val="22"/>
      </w:rPr>
      <w:t>BSA/AML</w:t>
    </w:r>
    <w:r>
      <w:rPr>
        <w:sz w:val="22"/>
        <w:szCs w:val="22"/>
      </w:rPr>
      <w:t xml:space="preserve"> </w:t>
    </w:r>
    <w:r w:rsidR="00644539">
      <w:rPr>
        <w:sz w:val="22"/>
        <w:szCs w:val="22"/>
      </w:rPr>
      <w:t>Examination Procedures</w:t>
    </w:r>
  </w:p>
  <w:p w14:paraId="12E4F8F4" w14:textId="77777777" w:rsidR="00000000" w:rsidRDefault="00833B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3CDE"/>
    <w:multiLevelType w:val="hybridMultilevel"/>
    <w:tmpl w:val="AD8E9C40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9452F"/>
    <w:multiLevelType w:val="hybridMultilevel"/>
    <w:tmpl w:val="893654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56520"/>
    <w:multiLevelType w:val="hybridMultilevel"/>
    <w:tmpl w:val="A90A5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43338"/>
    <w:multiLevelType w:val="hybridMultilevel"/>
    <w:tmpl w:val="5D2E44FE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31D81"/>
    <w:multiLevelType w:val="hybridMultilevel"/>
    <w:tmpl w:val="92C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1E95353"/>
    <w:multiLevelType w:val="hybridMultilevel"/>
    <w:tmpl w:val="C2B67C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934133"/>
    <w:multiLevelType w:val="hybridMultilevel"/>
    <w:tmpl w:val="41444E32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3275"/>
    <w:multiLevelType w:val="hybridMultilevel"/>
    <w:tmpl w:val="7674E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EE7CE0"/>
    <w:multiLevelType w:val="hybridMultilevel"/>
    <w:tmpl w:val="C1A2DB56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D5B21"/>
    <w:multiLevelType w:val="hybridMultilevel"/>
    <w:tmpl w:val="132000B2"/>
    <w:lvl w:ilvl="0" w:tplc="E77AC2B4">
      <w:start w:val="1"/>
      <w:numFmt w:val="bullet"/>
      <w:pStyle w:val="BulletlistBSA-AM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C88D6E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A1AF3"/>
    <w:multiLevelType w:val="hybridMultilevel"/>
    <w:tmpl w:val="A71C73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3B13F9"/>
    <w:multiLevelType w:val="hybridMultilevel"/>
    <w:tmpl w:val="405EA11C"/>
    <w:lvl w:ilvl="0" w:tplc="FBD6E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17DA3"/>
    <w:multiLevelType w:val="hybridMultilevel"/>
    <w:tmpl w:val="31F867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6C4BD7"/>
    <w:multiLevelType w:val="hybridMultilevel"/>
    <w:tmpl w:val="E844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1B40FB"/>
    <w:multiLevelType w:val="multilevel"/>
    <w:tmpl w:val="4FDE7A30"/>
    <w:lvl w:ilvl="0">
      <w:start w:val="1"/>
      <w:numFmt w:val="decimal"/>
      <w:pStyle w:val="Numberedlist-BSA-AM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595007"/>
    <w:multiLevelType w:val="hybridMultilevel"/>
    <w:tmpl w:val="E9A299D4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D14BDF"/>
    <w:multiLevelType w:val="hybridMultilevel"/>
    <w:tmpl w:val="8048D3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9793D9F"/>
    <w:multiLevelType w:val="hybridMultilevel"/>
    <w:tmpl w:val="1BDE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0462A62"/>
    <w:multiLevelType w:val="hybridMultilevel"/>
    <w:tmpl w:val="6B5652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10D7B59"/>
    <w:multiLevelType w:val="hybridMultilevel"/>
    <w:tmpl w:val="5D782CE8"/>
    <w:lvl w:ilvl="0" w:tplc="67383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1BD6AC8"/>
    <w:multiLevelType w:val="hybridMultilevel"/>
    <w:tmpl w:val="8F8A4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322194">
      <w:start w:val="1"/>
      <w:numFmt w:val="bullet"/>
      <w:pStyle w:val="Bullet-3rdlevelBSA-AML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83293B"/>
    <w:multiLevelType w:val="hybridMultilevel"/>
    <w:tmpl w:val="DA243F30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C009EC"/>
    <w:multiLevelType w:val="hybridMultilevel"/>
    <w:tmpl w:val="8A9CEC7A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5038F6"/>
    <w:multiLevelType w:val="hybridMultilevel"/>
    <w:tmpl w:val="69D44F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35138B7"/>
    <w:multiLevelType w:val="hybridMultilevel"/>
    <w:tmpl w:val="E6829CE8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EA3949"/>
    <w:multiLevelType w:val="hybridMultilevel"/>
    <w:tmpl w:val="0256E7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8A36398"/>
    <w:multiLevelType w:val="hybridMultilevel"/>
    <w:tmpl w:val="2DBCF200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0F77D7"/>
    <w:multiLevelType w:val="hybridMultilevel"/>
    <w:tmpl w:val="9294AE6A"/>
    <w:lvl w:ilvl="0" w:tplc="A1389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A1389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5D068E"/>
    <w:multiLevelType w:val="hybridMultilevel"/>
    <w:tmpl w:val="B680C4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89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23"/>
  </w:num>
  <w:num w:numId="5">
    <w:abstractNumId w:val="6"/>
  </w:num>
  <w:num w:numId="6">
    <w:abstractNumId w:val="27"/>
  </w:num>
  <w:num w:numId="7">
    <w:abstractNumId w:val="15"/>
  </w:num>
  <w:num w:numId="8">
    <w:abstractNumId w:val="26"/>
  </w:num>
  <w:num w:numId="9">
    <w:abstractNumId w:val="24"/>
  </w:num>
  <w:num w:numId="10">
    <w:abstractNumId w:val="5"/>
  </w:num>
  <w:num w:numId="11">
    <w:abstractNumId w:val="18"/>
  </w:num>
  <w:num w:numId="12">
    <w:abstractNumId w:val="12"/>
  </w:num>
  <w:num w:numId="13">
    <w:abstractNumId w:val="28"/>
  </w:num>
  <w:num w:numId="14">
    <w:abstractNumId w:val="22"/>
  </w:num>
  <w:num w:numId="15">
    <w:abstractNumId w:val="3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1"/>
  </w:num>
  <w:num w:numId="22">
    <w:abstractNumId w:val="1"/>
  </w:num>
  <w:num w:numId="23">
    <w:abstractNumId w:val="16"/>
  </w:num>
  <w:num w:numId="24">
    <w:abstractNumId w:val="8"/>
  </w:num>
  <w:num w:numId="25">
    <w:abstractNumId w:val="2"/>
  </w:num>
  <w:num w:numId="26">
    <w:abstractNumId w:val="10"/>
  </w:num>
  <w:num w:numId="27">
    <w:abstractNumId w:val="0"/>
  </w:num>
  <w:num w:numId="28">
    <w:abstractNumId w:val="19"/>
  </w:num>
  <w:num w:numId="2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69"/>
    <w:rsid w:val="000136F5"/>
    <w:rsid w:val="00027635"/>
    <w:rsid w:val="000435AD"/>
    <w:rsid w:val="00065C4D"/>
    <w:rsid w:val="000B6182"/>
    <w:rsid w:val="00153D87"/>
    <w:rsid w:val="001C597F"/>
    <w:rsid w:val="00214C57"/>
    <w:rsid w:val="002456DC"/>
    <w:rsid w:val="002C7896"/>
    <w:rsid w:val="003017B2"/>
    <w:rsid w:val="00381955"/>
    <w:rsid w:val="004076B6"/>
    <w:rsid w:val="0049515A"/>
    <w:rsid w:val="004B1A48"/>
    <w:rsid w:val="00545344"/>
    <w:rsid w:val="00551E98"/>
    <w:rsid w:val="005A483D"/>
    <w:rsid w:val="005C0EA2"/>
    <w:rsid w:val="005F5D49"/>
    <w:rsid w:val="00644539"/>
    <w:rsid w:val="0066634D"/>
    <w:rsid w:val="00666FEA"/>
    <w:rsid w:val="00667D9C"/>
    <w:rsid w:val="00693331"/>
    <w:rsid w:val="006938EE"/>
    <w:rsid w:val="00695FE5"/>
    <w:rsid w:val="00711436"/>
    <w:rsid w:val="0074091F"/>
    <w:rsid w:val="007C1396"/>
    <w:rsid w:val="007D2166"/>
    <w:rsid w:val="008218DF"/>
    <w:rsid w:val="0082386F"/>
    <w:rsid w:val="00827065"/>
    <w:rsid w:val="00833BB0"/>
    <w:rsid w:val="008C1A62"/>
    <w:rsid w:val="008D1B70"/>
    <w:rsid w:val="0092155F"/>
    <w:rsid w:val="00942A1C"/>
    <w:rsid w:val="009A7808"/>
    <w:rsid w:val="00A13081"/>
    <w:rsid w:val="00A33330"/>
    <w:rsid w:val="00A37C93"/>
    <w:rsid w:val="00A9534A"/>
    <w:rsid w:val="00AB7A7D"/>
    <w:rsid w:val="00AC3068"/>
    <w:rsid w:val="00B0373F"/>
    <w:rsid w:val="00B57732"/>
    <w:rsid w:val="00BD16CB"/>
    <w:rsid w:val="00C40DD6"/>
    <w:rsid w:val="00C71445"/>
    <w:rsid w:val="00C73169"/>
    <w:rsid w:val="00C7598C"/>
    <w:rsid w:val="00CC10D0"/>
    <w:rsid w:val="00CE1F59"/>
    <w:rsid w:val="00CF0853"/>
    <w:rsid w:val="00CF7AF0"/>
    <w:rsid w:val="00D8007E"/>
    <w:rsid w:val="00D95CB7"/>
    <w:rsid w:val="00DA7E7B"/>
    <w:rsid w:val="00EC37F2"/>
    <w:rsid w:val="00F338D1"/>
    <w:rsid w:val="00F410AB"/>
    <w:rsid w:val="00F8164C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94A3731"/>
  <w14:defaultImageDpi w14:val="300"/>
  <w15:chartTrackingRefBased/>
  <w15:docId w15:val="{B954B535-FA18-0B4B-81C9-0E80C28F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597F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9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0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39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BSA-AML">
    <w:name w:val="Body-BSA-AML"/>
    <w:link w:val="Body-BSA-AMLChar"/>
    <w:rsid w:val="001C597F"/>
    <w:pPr>
      <w:tabs>
        <w:tab w:val="left" w:pos="360"/>
      </w:tabs>
      <w:spacing w:after="200"/>
    </w:pPr>
    <w:rPr>
      <w:rFonts w:ascii="Times New Roman" w:eastAsia="Times New Roman" w:hAnsi="Times New Roman" w:cs="Times New Roman"/>
      <w:szCs w:val="20"/>
    </w:rPr>
  </w:style>
  <w:style w:type="character" w:customStyle="1" w:styleId="Head7-BSA-AMLCharChar">
    <w:name w:val="Head 7-BSA-AML Char Char"/>
    <w:rsid w:val="001C597F"/>
    <w:rPr>
      <w:b/>
      <w:sz w:val="24"/>
      <w:lang w:val="en-US" w:eastAsia="en-US"/>
    </w:rPr>
  </w:style>
  <w:style w:type="character" w:customStyle="1" w:styleId="Body-BSA-AMLChar">
    <w:name w:val="Body-BSA-AML Char"/>
    <w:link w:val="Body-BSA-AML"/>
    <w:locked/>
    <w:rsid w:val="001C597F"/>
    <w:rPr>
      <w:rFonts w:ascii="Times New Roman" w:eastAsia="Times New Roman" w:hAnsi="Times New Roman" w:cs="Times New Roman"/>
      <w:szCs w:val="20"/>
    </w:rPr>
  </w:style>
  <w:style w:type="paragraph" w:customStyle="1" w:styleId="Head3-BSA-AML">
    <w:name w:val="Head 3-BSA-AML"/>
    <w:basedOn w:val="Heading3"/>
    <w:next w:val="Body-BSA-AML"/>
    <w:rsid w:val="001C597F"/>
    <w:pPr>
      <w:keepLines w:val="0"/>
      <w:spacing w:before="120" w:after="240"/>
      <w:jc w:val="center"/>
    </w:pPr>
    <w:rPr>
      <w:rFonts w:ascii="Times New Roman" w:eastAsia="Times New Roman" w:hAnsi="Times New Roman" w:cs="Arial"/>
      <w:b/>
      <w:bCs/>
      <w:color w:val="auto"/>
      <w:sz w:val="44"/>
      <w:szCs w:val="26"/>
    </w:rPr>
  </w:style>
  <w:style w:type="paragraph" w:customStyle="1" w:styleId="Numberedlist-BSA-AML">
    <w:name w:val="Numbered list-BSA-AML"/>
    <w:basedOn w:val="Normal"/>
    <w:next w:val="Body-BSA-AML"/>
    <w:rsid w:val="001C597F"/>
    <w:pPr>
      <w:numPr>
        <w:numId w:val="1"/>
      </w:numPr>
      <w:spacing w:after="200"/>
    </w:pPr>
    <w:rPr>
      <w:sz w:val="24"/>
      <w:szCs w:val="24"/>
    </w:rPr>
  </w:style>
  <w:style w:type="paragraph" w:customStyle="1" w:styleId="Bulletlist2ndlevel-BSA-AML">
    <w:name w:val="Bullet list 2nd level-BSA-AML"/>
    <w:basedOn w:val="ListBullet"/>
    <w:next w:val="Body-BSA-AML"/>
    <w:link w:val="Bulletlist2ndlevel-BSA-AMLChar"/>
    <w:rsid w:val="001C597F"/>
    <w:pPr>
      <w:spacing w:after="200"/>
      <w:contextualSpacing w:val="0"/>
    </w:pPr>
    <w:rPr>
      <w:sz w:val="24"/>
    </w:rPr>
  </w:style>
  <w:style w:type="character" w:customStyle="1" w:styleId="Bulletlist2ndlevel-BSA-AMLChar">
    <w:name w:val="Bullet list 2nd level-BSA-AML Char"/>
    <w:link w:val="Bulletlist2ndlevel-BSA-AML"/>
    <w:locked/>
    <w:rsid w:val="001C597F"/>
    <w:rPr>
      <w:rFonts w:ascii="Times New Roman" w:eastAsia="Times New Roman" w:hAnsi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97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Bullet">
    <w:name w:val="List Bullet"/>
    <w:basedOn w:val="Normal"/>
    <w:uiPriority w:val="99"/>
    <w:semiHidden/>
    <w:unhideWhenUsed/>
    <w:rsid w:val="001C597F"/>
    <w:pPr>
      <w:tabs>
        <w:tab w:val="num" w:pos="360"/>
      </w:tabs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9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5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97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C597F"/>
  </w:style>
  <w:style w:type="paragraph" w:customStyle="1" w:styleId="Head4-BSA-AML">
    <w:name w:val="Head 4-BSA-AML"/>
    <w:basedOn w:val="Heading4"/>
    <w:next w:val="Body-BSA-AML"/>
    <w:rsid w:val="00827065"/>
    <w:pPr>
      <w:keepLines w:val="0"/>
      <w:tabs>
        <w:tab w:val="left" w:pos="360"/>
      </w:tabs>
      <w:spacing w:before="0" w:after="200"/>
    </w:pPr>
    <w:rPr>
      <w:rFonts w:ascii="Times New Roman" w:eastAsia="Times New Roman" w:hAnsi="Times New Roman" w:cs="Times New Roman"/>
      <w:b/>
      <w:bCs/>
      <w:i w:val="0"/>
      <w:iCs w:val="0"/>
      <w:color w:val="auto"/>
      <w:sz w:val="36"/>
      <w:szCs w:val="28"/>
    </w:rPr>
  </w:style>
  <w:style w:type="paragraph" w:customStyle="1" w:styleId="BulletlistBSA-AML">
    <w:name w:val="Bullet list (BSA-AML)"/>
    <w:next w:val="Body-BSA-AML"/>
    <w:link w:val="BulletlistBSA-AMLCharChar"/>
    <w:rsid w:val="00827065"/>
    <w:pPr>
      <w:numPr>
        <w:numId w:val="2"/>
      </w:numPr>
      <w:spacing w:after="200"/>
    </w:pPr>
    <w:rPr>
      <w:rFonts w:ascii="Times New Roman" w:eastAsia="Times New Roman" w:hAnsi="Times New Roman" w:cs="Times New Roman"/>
      <w:szCs w:val="20"/>
    </w:rPr>
  </w:style>
  <w:style w:type="character" w:customStyle="1" w:styleId="BulletlistBSA-AMLCharChar">
    <w:name w:val="Bullet list (BSA-AML) Char Char"/>
    <w:basedOn w:val="DefaultParagraphFont"/>
    <w:link w:val="BulletlistBSA-AML"/>
    <w:rsid w:val="00827065"/>
    <w:rPr>
      <w:rFonts w:ascii="Times New Roman" w:eastAsia="Times New Roman" w:hAnsi="Times New Roman" w:cs="Times New Roman"/>
      <w:szCs w:val="20"/>
    </w:rPr>
  </w:style>
  <w:style w:type="character" w:customStyle="1" w:styleId="Bodyindent-BSA-AMLChar">
    <w:name w:val="Body indent-BSA-AML Char"/>
    <w:basedOn w:val="DefaultParagraphFont"/>
    <w:rsid w:val="00827065"/>
    <w:rPr>
      <w:sz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06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customStyle="1" w:styleId="NumberedBSA-AMLList">
    <w:name w:val="Numbered BSA-AML List"/>
    <w:basedOn w:val="Normal"/>
    <w:next w:val="Body-BSA-AML"/>
    <w:link w:val="NumberedBSA-AMLListChar"/>
    <w:rsid w:val="0066634D"/>
    <w:pPr>
      <w:tabs>
        <w:tab w:val="left" w:pos="360"/>
      </w:tabs>
      <w:spacing w:after="200"/>
      <w:ind w:left="360" w:hanging="360"/>
    </w:pPr>
    <w:rPr>
      <w:sz w:val="24"/>
    </w:rPr>
  </w:style>
  <w:style w:type="character" w:customStyle="1" w:styleId="NumberedBSA-AMLListChar">
    <w:name w:val="Numbered BSA-AML List Char"/>
    <w:basedOn w:val="DefaultParagraphFont"/>
    <w:link w:val="NumberedBSA-AMLList"/>
    <w:rsid w:val="0066634D"/>
    <w:rPr>
      <w:rFonts w:ascii="Times New Roman" w:eastAsia="Times New Roman" w:hAnsi="Times New Roman" w:cs="Times New Roman"/>
      <w:szCs w:val="20"/>
    </w:rPr>
  </w:style>
  <w:style w:type="character" w:styleId="FootnoteReference">
    <w:name w:val="footnote reference"/>
    <w:aliases w:val="Footnote Reference-BSA-AML"/>
    <w:basedOn w:val="DefaultParagraphFont"/>
    <w:uiPriority w:val="99"/>
    <w:rsid w:val="008218DF"/>
    <w:rPr>
      <w:rFonts w:ascii="Times New Roman" w:hAnsi="Times New Roman"/>
      <w:sz w:val="20"/>
      <w:szCs w:val="24"/>
      <w:vertAlign w:val="superscript"/>
      <w:lang w:val="en-US" w:eastAsia="en-US" w:bidi="ar-SA"/>
    </w:rPr>
  </w:style>
  <w:style w:type="paragraph" w:customStyle="1" w:styleId="Bodyfootnote-BSA-AML">
    <w:name w:val="Body footnote-BSA-AML"/>
    <w:basedOn w:val="FootnoteText"/>
    <w:link w:val="Bodyfootnote-BSA-AMLChar"/>
    <w:rsid w:val="008218DF"/>
    <w:pPr>
      <w:spacing w:after="120"/>
    </w:pPr>
  </w:style>
  <w:style w:type="character" w:customStyle="1" w:styleId="Bodyfootnote-BSA-AMLChar">
    <w:name w:val="Body footnote-BSA-AML Char"/>
    <w:basedOn w:val="DefaultParagraphFont"/>
    <w:link w:val="Bodyfootnote-BSA-AML"/>
    <w:rsid w:val="008218DF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218DF"/>
  </w:style>
  <w:style w:type="character" w:customStyle="1" w:styleId="FootnoteTextChar">
    <w:name w:val="Footnote Text Char"/>
    <w:basedOn w:val="DefaultParagraphFont"/>
    <w:link w:val="FootnoteText"/>
    <w:uiPriority w:val="99"/>
    <w:rsid w:val="008218D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qFormat/>
    <w:rsid w:val="0074091F"/>
    <w:pPr>
      <w:ind w:left="720"/>
    </w:pPr>
    <w:rPr>
      <w:sz w:val="24"/>
      <w:szCs w:val="24"/>
    </w:rPr>
  </w:style>
  <w:style w:type="paragraph" w:customStyle="1" w:styleId="Bodyindent-BSA-AML">
    <w:name w:val="Body indent-BSA-AML"/>
    <w:basedOn w:val="Body-BSA-AML"/>
    <w:next w:val="Body-BSA-AML"/>
    <w:rsid w:val="00214C57"/>
    <w:pPr>
      <w:ind w:left="360"/>
    </w:pPr>
  </w:style>
  <w:style w:type="paragraph" w:customStyle="1" w:styleId="Bullet-3rdlevelBSA-AML">
    <w:name w:val="Bullet-3rd level BSA-AML"/>
    <w:basedOn w:val="BulletlistBSA-AML"/>
    <w:next w:val="Body-BSA-AML"/>
    <w:rsid w:val="009A7808"/>
    <w:pPr>
      <w:widowControl w:val="0"/>
      <w:numPr>
        <w:ilvl w:val="1"/>
        <w:numId w:val="3"/>
      </w:numPr>
      <w:tabs>
        <w:tab w:val="clear" w:pos="1080"/>
      </w:tabs>
      <w:autoSpaceDE w:val="0"/>
      <w:autoSpaceDN w:val="0"/>
      <w:adjustRightInd w:val="0"/>
    </w:pPr>
    <w:rPr>
      <w:szCs w:val="24"/>
    </w:rPr>
  </w:style>
  <w:style w:type="paragraph" w:customStyle="1" w:styleId="Head7-BSA-AML">
    <w:name w:val="Head 7-BSA-AML"/>
    <w:basedOn w:val="Heading7"/>
    <w:next w:val="Body-BSA-AML"/>
    <w:link w:val="Head7-BSA-AMLChar"/>
    <w:rsid w:val="007C1396"/>
    <w:pPr>
      <w:keepNext w:val="0"/>
      <w:keepLines w:val="0"/>
      <w:spacing w:before="0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4"/>
    </w:rPr>
  </w:style>
  <w:style w:type="character" w:customStyle="1" w:styleId="Head7-BSA-AMLChar">
    <w:name w:val="Head 7-BSA-AML Char"/>
    <w:basedOn w:val="DefaultParagraphFont"/>
    <w:link w:val="Head7-BSA-AML"/>
    <w:rsid w:val="007C1396"/>
    <w:rPr>
      <w:rFonts w:ascii="Times New Roman" w:eastAsia="Times New Roman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396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styleId="Hyperlink">
    <w:name w:val="Hyperlink"/>
    <w:basedOn w:val="DefaultParagraphFont"/>
    <w:rsid w:val="00F81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7ECD7B-824C-F14D-B43C-2365FBE8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4055</Characters>
  <Application>Microsoft Office Word</Application>
  <DocSecurity>0</DocSecurity>
  <Lines>33</Lines>
  <Paragraphs>9</Paragraphs>
  <ScaleCrop>false</ScaleCrop>
  <Company>CPS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J. Attard</dc:creator>
  <cp:keywords/>
  <dc:description/>
  <cp:lastModifiedBy>Adam J. Attard</cp:lastModifiedBy>
  <cp:revision>2</cp:revision>
  <dcterms:created xsi:type="dcterms:W3CDTF">2018-06-06T15:19:00Z</dcterms:created>
  <dcterms:modified xsi:type="dcterms:W3CDTF">2018-06-06T15:19:00Z</dcterms:modified>
</cp:coreProperties>
</file>