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8398" w14:textId="77777777" w:rsidR="00437489" w:rsidRPr="0086047B" w:rsidRDefault="00437489" w:rsidP="00437489">
      <w:pPr>
        <w:pStyle w:val="Head3-BSA-AML"/>
        <w:rPr>
          <w:sz w:val="36"/>
          <w:szCs w:val="36"/>
        </w:rPr>
      </w:pPr>
      <w:bookmarkStart w:id="0" w:name="_Toc135558588"/>
      <w:r w:rsidRPr="0086047B">
        <w:rPr>
          <w:sz w:val="36"/>
          <w:szCs w:val="36"/>
        </w:rPr>
        <w:t>Examination Procedures</w:t>
      </w:r>
    </w:p>
    <w:p w14:paraId="689F2360" w14:textId="77777777" w:rsidR="00437489" w:rsidRDefault="00437489" w:rsidP="00437489">
      <w:pPr>
        <w:pStyle w:val="Head4-BSA-AML"/>
        <w:jc w:val="center"/>
      </w:pPr>
      <w:r>
        <w:t>U.S. Dollar Drafts</w:t>
      </w:r>
      <w:bookmarkEnd w:id="0"/>
    </w:p>
    <w:p w14:paraId="3C1D0CD1" w14:textId="77777777" w:rsidR="00437489" w:rsidRDefault="00437489" w:rsidP="00437489">
      <w:pPr>
        <w:rPr>
          <w:i/>
        </w:rPr>
      </w:pPr>
      <w:r>
        <w:rPr>
          <w:rStyle w:val="Head7-BSA-AMLCharChar"/>
        </w:rPr>
        <w:t>Objective.</w:t>
      </w:r>
      <w:r>
        <w:t xml:space="preserve">  </w:t>
      </w:r>
      <w:r w:rsidRPr="00E60116">
        <w:rPr>
          <w:i/>
          <w:sz w:val="24"/>
          <w:szCs w:val="24"/>
        </w:rPr>
        <w:t>Assess the adequacy of the bank’s systems to manage the risks associated with U.S. dollar drafts, and management’s ability to implement effective monitoring and reporting systems.</w:t>
      </w:r>
    </w:p>
    <w:p w14:paraId="418179D4" w14:textId="77777777" w:rsidR="00437489" w:rsidRDefault="00437489" w:rsidP="00437489">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5385"/>
      </w:tblGrid>
      <w:tr w:rsidR="00437489" w:rsidRPr="00EC4C3D" w14:paraId="00DFBCB8" w14:textId="77777777" w:rsidTr="00FD77C2">
        <w:trPr>
          <w:tblHeader/>
        </w:trPr>
        <w:tc>
          <w:tcPr>
            <w:tcW w:w="5508" w:type="dxa"/>
            <w:tcBorders>
              <w:bottom w:val="single" w:sz="4" w:space="0" w:color="auto"/>
            </w:tcBorders>
            <w:shd w:val="clear" w:color="auto" w:fill="E0E0E0"/>
          </w:tcPr>
          <w:p w14:paraId="1F2B93EF" w14:textId="77777777" w:rsidR="00437489" w:rsidRPr="00EC4C3D" w:rsidRDefault="00437489"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65D6EA19" w14:textId="77777777" w:rsidR="00437489" w:rsidRPr="00EC4C3D" w:rsidRDefault="00437489" w:rsidP="00FD77C2">
            <w:pPr>
              <w:rPr>
                <w:b/>
                <w:sz w:val="28"/>
                <w:szCs w:val="28"/>
              </w:rPr>
            </w:pPr>
            <w:r w:rsidRPr="00EC4C3D">
              <w:rPr>
                <w:b/>
                <w:sz w:val="28"/>
                <w:szCs w:val="28"/>
              </w:rPr>
              <w:t>Comments</w:t>
            </w:r>
          </w:p>
        </w:tc>
      </w:tr>
      <w:tr w:rsidR="00437489" w:rsidRPr="00EC4C3D" w14:paraId="0BF58631" w14:textId="77777777" w:rsidTr="00FD77C2">
        <w:tc>
          <w:tcPr>
            <w:tcW w:w="5508" w:type="dxa"/>
            <w:shd w:val="clear" w:color="auto" w:fill="auto"/>
          </w:tcPr>
          <w:p w14:paraId="22578715" w14:textId="77777777" w:rsidR="00437489" w:rsidRPr="00EC4C3D" w:rsidRDefault="00437489" w:rsidP="00437489">
            <w:pPr>
              <w:pStyle w:val="NumberedBSA-AMLList"/>
              <w:numPr>
                <w:ilvl w:val="0"/>
                <w:numId w:val="30"/>
              </w:numPr>
              <w:spacing w:after="0"/>
              <w:rPr>
                <w:sz w:val="22"/>
                <w:szCs w:val="22"/>
              </w:rPr>
            </w:pPr>
            <w:r w:rsidRPr="00EC4C3D">
              <w:rPr>
                <w:sz w:val="22"/>
                <w:szCs w:val="22"/>
              </w:rPr>
              <w:t>Review the policies, procedures, and processes related to U.S. dollar drafts.  Evaluate the adequacy of the policies, procedures, and processes given the bank’s U.S. dollar draft activities and the risks they present.  Assess whether the controls are adequate to reasonably protect the bank from money laundering and terrorist financing.  Determine whether policies address the following:</w:t>
            </w:r>
          </w:p>
          <w:p w14:paraId="12E5F8DD" w14:textId="77777777" w:rsidR="00437489" w:rsidRPr="00EC4C3D" w:rsidRDefault="00437489" w:rsidP="00437489">
            <w:pPr>
              <w:pStyle w:val="Bulletlist2ndlevel-BSA-AML"/>
              <w:numPr>
                <w:ilvl w:val="0"/>
                <w:numId w:val="31"/>
              </w:numPr>
              <w:tabs>
                <w:tab w:val="left" w:pos="360"/>
              </w:tabs>
              <w:spacing w:after="0"/>
              <w:rPr>
                <w:sz w:val="22"/>
                <w:szCs w:val="22"/>
              </w:rPr>
            </w:pPr>
            <w:r w:rsidRPr="00EC4C3D">
              <w:rPr>
                <w:sz w:val="22"/>
                <w:szCs w:val="22"/>
              </w:rPr>
              <w:t xml:space="preserve">Criteria for allowing a foreign financial institution or entity to issue the U.S. bank’s dollar drafts (e.g., </w:t>
            </w:r>
            <w:r w:rsidRPr="00EC4C3D">
              <w:rPr>
                <w:bCs/>
                <w:sz w:val="22"/>
                <w:szCs w:val="22"/>
              </w:rPr>
              <w:t>jurisdiction</w:t>
            </w:r>
            <w:r w:rsidRPr="00EC4C3D">
              <w:rPr>
                <w:sz w:val="22"/>
                <w:szCs w:val="22"/>
              </w:rPr>
              <w:t xml:space="preserve">; </w:t>
            </w:r>
            <w:r w:rsidRPr="00EC4C3D">
              <w:rPr>
                <w:bCs/>
                <w:sz w:val="22"/>
                <w:szCs w:val="22"/>
              </w:rPr>
              <w:t>products, services, and target markets; purpose of account and anticipated activity; customer history</w:t>
            </w:r>
            <w:r w:rsidRPr="00EC4C3D">
              <w:rPr>
                <w:sz w:val="22"/>
                <w:szCs w:val="22"/>
              </w:rPr>
              <w:t>; and other available information</w:t>
            </w:r>
            <w:r w:rsidRPr="00EC4C3D">
              <w:rPr>
                <w:bCs/>
                <w:sz w:val="22"/>
                <w:szCs w:val="22"/>
              </w:rPr>
              <w:t>).</w:t>
            </w:r>
          </w:p>
          <w:p w14:paraId="1B88F929" w14:textId="77777777" w:rsidR="00437489" w:rsidRPr="00EC4C3D" w:rsidRDefault="00437489" w:rsidP="00437489">
            <w:pPr>
              <w:pStyle w:val="Bulletlist2ndlevel-BSA-AML"/>
              <w:numPr>
                <w:ilvl w:val="0"/>
                <w:numId w:val="31"/>
              </w:numPr>
              <w:tabs>
                <w:tab w:val="left" w:pos="360"/>
              </w:tabs>
              <w:spacing w:after="0"/>
              <w:rPr>
                <w:sz w:val="22"/>
                <w:szCs w:val="22"/>
              </w:rPr>
            </w:pPr>
            <w:r w:rsidRPr="00EC4C3D">
              <w:rPr>
                <w:sz w:val="22"/>
                <w:szCs w:val="22"/>
              </w:rPr>
              <w:t>Identification of unusual transactions (e.g., structuring transactions or the purchase of multiple sequentially numbered U.S. dollar drafts to the same payee).</w:t>
            </w:r>
          </w:p>
          <w:p w14:paraId="70CB64EF" w14:textId="77777777" w:rsidR="00437489" w:rsidRPr="00EC4C3D" w:rsidRDefault="00437489" w:rsidP="00437489">
            <w:pPr>
              <w:numPr>
                <w:ilvl w:val="0"/>
                <w:numId w:val="31"/>
              </w:numPr>
              <w:rPr>
                <w:sz w:val="22"/>
                <w:szCs w:val="22"/>
              </w:rPr>
            </w:pPr>
            <w:r w:rsidRPr="00EC4C3D">
              <w:rPr>
                <w:sz w:val="22"/>
                <w:szCs w:val="22"/>
              </w:rPr>
              <w:t>Criteria for ceasing U.S. dollar draft issuance through a foreign financial institution or entity.</w:t>
            </w:r>
          </w:p>
        </w:tc>
        <w:tc>
          <w:tcPr>
            <w:tcW w:w="5508" w:type="dxa"/>
            <w:shd w:val="clear" w:color="auto" w:fill="auto"/>
          </w:tcPr>
          <w:p w14:paraId="45EC0E83" w14:textId="77777777" w:rsidR="00437489" w:rsidRPr="00EC4C3D" w:rsidRDefault="00437489" w:rsidP="00FD77C2">
            <w:pPr>
              <w:rPr>
                <w:sz w:val="22"/>
                <w:szCs w:val="22"/>
              </w:rPr>
            </w:pPr>
          </w:p>
        </w:tc>
      </w:tr>
      <w:tr w:rsidR="00437489" w:rsidRPr="00EC4C3D" w14:paraId="028A0456" w14:textId="77777777" w:rsidTr="00FD77C2">
        <w:tc>
          <w:tcPr>
            <w:tcW w:w="5508" w:type="dxa"/>
            <w:shd w:val="clear" w:color="auto" w:fill="auto"/>
          </w:tcPr>
          <w:p w14:paraId="6529CE08" w14:textId="77777777" w:rsidR="00437489" w:rsidRPr="00EC4C3D" w:rsidRDefault="00437489" w:rsidP="00437489">
            <w:pPr>
              <w:numPr>
                <w:ilvl w:val="0"/>
                <w:numId w:val="30"/>
              </w:numPr>
              <w:rPr>
                <w:sz w:val="22"/>
                <w:szCs w:val="22"/>
              </w:rPr>
            </w:pPr>
            <w:r w:rsidRPr="00EC4C3D">
              <w:rPr>
                <w:bCs/>
                <w:sz w:val="22"/>
                <w:szCs w:val="22"/>
              </w:rPr>
              <w:t>From</w:t>
            </w:r>
            <w:r w:rsidRPr="00EC4C3D">
              <w:rPr>
                <w:sz w:val="22"/>
                <w:szCs w:val="22"/>
              </w:rPr>
              <w:t xml:space="preserve"> a review of </w:t>
            </w:r>
            <w:r>
              <w:rPr>
                <w:sz w:val="22"/>
                <w:szCs w:val="22"/>
              </w:rPr>
              <w:t>MIS</w:t>
            </w:r>
            <w:r w:rsidRPr="00EC4C3D">
              <w:rPr>
                <w:sz w:val="22"/>
                <w:szCs w:val="22"/>
              </w:rPr>
              <w:t xml:space="preserve"> and internal risk rating factors, determine whether the bank </w:t>
            </w:r>
            <w:r w:rsidRPr="00EC4C3D">
              <w:rPr>
                <w:iCs/>
                <w:sz w:val="22"/>
                <w:szCs w:val="22"/>
              </w:rPr>
              <w:t xml:space="preserve">effectively </w:t>
            </w:r>
            <w:r w:rsidRPr="00EC4C3D">
              <w:rPr>
                <w:sz w:val="22"/>
                <w:szCs w:val="22"/>
              </w:rPr>
              <w:t>identifies and monitors high</w:t>
            </w:r>
            <w:r>
              <w:rPr>
                <w:sz w:val="22"/>
                <w:szCs w:val="22"/>
              </w:rPr>
              <w:t>er</w:t>
            </w:r>
            <w:r w:rsidRPr="00EC4C3D">
              <w:rPr>
                <w:sz w:val="22"/>
                <w:szCs w:val="22"/>
              </w:rPr>
              <w:t>-risk U.S. dollar draft accounts.</w:t>
            </w:r>
          </w:p>
        </w:tc>
        <w:tc>
          <w:tcPr>
            <w:tcW w:w="5508" w:type="dxa"/>
            <w:shd w:val="clear" w:color="auto" w:fill="auto"/>
          </w:tcPr>
          <w:p w14:paraId="0FD1E6A5" w14:textId="77777777" w:rsidR="00437489" w:rsidRPr="00EC4C3D" w:rsidRDefault="00437489" w:rsidP="00FD77C2">
            <w:pPr>
              <w:rPr>
                <w:sz w:val="22"/>
                <w:szCs w:val="22"/>
              </w:rPr>
            </w:pPr>
          </w:p>
        </w:tc>
      </w:tr>
      <w:tr w:rsidR="00437489" w:rsidRPr="00EC4C3D" w14:paraId="74F51BCF" w14:textId="77777777" w:rsidTr="00FD77C2">
        <w:tc>
          <w:tcPr>
            <w:tcW w:w="5508" w:type="dxa"/>
            <w:shd w:val="clear" w:color="auto" w:fill="auto"/>
          </w:tcPr>
          <w:p w14:paraId="03D51A28" w14:textId="77777777" w:rsidR="00437489" w:rsidRPr="00EC4C3D" w:rsidRDefault="00437489" w:rsidP="00437489">
            <w:pPr>
              <w:numPr>
                <w:ilvl w:val="0"/>
                <w:numId w:val="30"/>
              </w:numPr>
              <w:rPr>
                <w:sz w:val="22"/>
                <w:szCs w:val="22"/>
              </w:rPr>
            </w:pPr>
            <w:r w:rsidRPr="00EC4C3D">
              <w:rPr>
                <w:sz w:val="22"/>
                <w:szCs w:val="22"/>
              </w:rPr>
              <w:t>Determine whether the bank’s system for monitoring U.S. dollar draft accounts for suspicious activities, and for reporting suspicious activities, is adequate given the bank’s size, complexity, location, and types of customer relationships.</w:t>
            </w:r>
          </w:p>
        </w:tc>
        <w:tc>
          <w:tcPr>
            <w:tcW w:w="5508" w:type="dxa"/>
            <w:shd w:val="clear" w:color="auto" w:fill="auto"/>
          </w:tcPr>
          <w:p w14:paraId="21592BE1" w14:textId="77777777" w:rsidR="00437489" w:rsidRPr="00EC4C3D" w:rsidRDefault="00437489" w:rsidP="00FD77C2">
            <w:pPr>
              <w:rPr>
                <w:sz w:val="22"/>
                <w:szCs w:val="22"/>
              </w:rPr>
            </w:pPr>
          </w:p>
        </w:tc>
      </w:tr>
      <w:tr w:rsidR="00437489" w:rsidRPr="00EC4C3D" w14:paraId="52B4B98B" w14:textId="77777777" w:rsidTr="00FD77C2">
        <w:tc>
          <w:tcPr>
            <w:tcW w:w="5508" w:type="dxa"/>
            <w:shd w:val="clear" w:color="auto" w:fill="auto"/>
          </w:tcPr>
          <w:p w14:paraId="7A38D748" w14:textId="77777777" w:rsidR="00437489" w:rsidRPr="00EC4C3D" w:rsidRDefault="00437489" w:rsidP="00437489">
            <w:pPr>
              <w:numPr>
                <w:ilvl w:val="0"/>
                <w:numId w:val="30"/>
              </w:numPr>
              <w:rPr>
                <w:sz w:val="22"/>
                <w:szCs w:val="22"/>
              </w:rPr>
            </w:pPr>
            <w:r w:rsidRPr="00EC4C3D">
              <w:rPr>
                <w:sz w:val="22"/>
                <w:szCs w:val="22"/>
              </w:rPr>
              <w:t>Obtain a list of foreign bank correspondent accounts in which U.S. dollar drafts are offered.  Review the volume, by number and dollar amount, of monthly transactions for each account.  Determine whether management has appropriately assessed risk.</w:t>
            </w:r>
          </w:p>
        </w:tc>
        <w:tc>
          <w:tcPr>
            <w:tcW w:w="5508" w:type="dxa"/>
            <w:shd w:val="clear" w:color="auto" w:fill="auto"/>
          </w:tcPr>
          <w:p w14:paraId="71A7F025" w14:textId="77777777" w:rsidR="00437489" w:rsidRPr="00EC4C3D" w:rsidRDefault="00437489" w:rsidP="00FD77C2">
            <w:pPr>
              <w:rPr>
                <w:sz w:val="22"/>
                <w:szCs w:val="22"/>
              </w:rPr>
            </w:pPr>
          </w:p>
        </w:tc>
      </w:tr>
      <w:tr w:rsidR="00437489" w:rsidRPr="00EC4C3D" w14:paraId="5DAEFD5B" w14:textId="77777777" w:rsidTr="00FD77C2">
        <w:tc>
          <w:tcPr>
            <w:tcW w:w="11016" w:type="dxa"/>
            <w:gridSpan w:val="2"/>
            <w:shd w:val="clear" w:color="auto" w:fill="auto"/>
          </w:tcPr>
          <w:p w14:paraId="7A3EFE4E" w14:textId="77777777" w:rsidR="00437489" w:rsidRPr="00EC4C3D" w:rsidRDefault="00437489" w:rsidP="00FD77C2">
            <w:pPr>
              <w:rPr>
                <w:b/>
                <w:sz w:val="28"/>
                <w:szCs w:val="28"/>
              </w:rPr>
            </w:pPr>
            <w:r w:rsidRPr="00EC4C3D">
              <w:rPr>
                <w:b/>
                <w:sz w:val="28"/>
                <w:szCs w:val="28"/>
              </w:rPr>
              <w:t>Transaction Testing</w:t>
            </w:r>
          </w:p>
        </w:tc>
      </w:tr>
      <w:tr w:rsidR="00437489" w:rsidRPr="00EC4C3D" w14:paraId="59180F97" w14:textId="77777777" w:rsidTr="00FD77C2">
        <w:tc>
          <w:tcPr>
            <w:tcW w:w="5508" w:type="dxa"/>
            <w:shd w:val="clear" w:color="auto" w:fill="auto"/>
          </w:tcPr>
          <w:p w14:paraId="1D3A7230" w14:textId="77777777" w:rsidR="00437489" w:rsidRPr="00EC4C3D" w:rsidRDefault="00437489" w:rsidP="00437489">
            <w:pPr>
              <w:pStyle w:val="NumberedBSA-AMLList"/>
              <w:numPr>
                <w:ilvl w:val="0"/>
                <w:numId w:val="30"/>
              </w:numPr>
              <w:spacing w:after="0"/>
              <w:rPr>
                <w:sz w:val="22"/>
                <w:szCs w:val="22"/>
              </w:rPr>
            </w:pPr>
            <w:r w:rsidRPr="00EC4C3D">
              <w:rPr>
                <w:sz w:val="22"/>
                <w:szCs w:val="22"/>
              </w:rPr>
              <w:t xml:space="preserve">On the basis of the bank’s risk assessment of its U.S. dollar draft activities, as well as prior examination and audit reports, select a sample of foreign correspondent bank accounts in which U.S. dollar drafts are processed.  In the sample selected, include accounts with a high volume of U.S. dollar draft activity.  From the sample selected, perform the following </w:t>
            </w:r>
            <w:r w:rsidRPr="00EC4C3D">
              <w:rPr>
                <w:bCs/>
                <w:sz w:val="22"/>
                <w:szCs w:val="22"/>
              </w:rPr>
              <w:t xml:space="preserve">examination </w:t>
            </w:r>
            <w:r w:rsidRPr="00EC4C3D">
              <w:rPr>
                <w:sz w:val="22"/>
                <w:szCs w:val="22"/>
              </w:rPr>
              <w:t>procedures:</w:t>
            </w:r>
          </w:p>
          <w:p w14:paraId="663B6504" w14:textId="77777777" w:rsidR="00437489" w:rsidRPr="00EC4C3D" w:rsidRDefault="00437489" w:rsidP="00437489">
            <w:pPr>
              <w:pStyle w:val="Bulletlist2ndlevel-BSA-AML"/>
              <w:numPr>
                <w:ilvl w:val="0"/>
                <w:numId w:val="32"/>
              </w:numPr>
              <w:tabs>
                <w:tab w:val="left" w:pos="360"/>
              </w:tabs>
              <w:spacing w:after="0"/>
              <w:rPr>
                <w:sz w:val="22"/>
                <w:szCs w:val="22"/>
              </w:rPr>
            </w:pPr>
            <w:r w:rsidRPr="00EC4C3D">
              <w:rPr>
                <w:sz w:val="22"/>
                <w:szCs w:val="22"/>
              </w:rPr>
              <w:lastRenderedPageBreak/>
              <w:t>Review transactions for sequentially numbered U.S. dollar drafts to the same payee or from the same remitter.  Research any unusual or suspicious U.S. dollar draft transactions.</w:t>
            </w:r>
          </w:p>
          <w:p w14:paraId="0F9F3288" w14:textId="77777777" w:rsidR="00437489" w:rsidRPr="00EC4C3D" w:rsidRDefault="00437489" w:rsidP="00437489">
            <w:pPr>
              <w:pStyle w:val="Bulletlist2ndlevel-BSA-AML"/>
              <w:numPr>
                <w:ilvl w:val="0"/>
                <w:numId w:val="32"/>
              </w:numPr>
              <w:tabs>
                <w:tab w:val="left" w:pos="360"/>
              </w:tabs>
              <w:spacing w:after="0"/>
              <w:rPr>
                <w:sz w:val="22"/>
                <w:szCs w:val="22"/>
              </w:rPr>
            </w:pPr>
            <w:r w:rsidRPr="00EC4C3D">
              <w:rPr>
                <w:sz w:val="22"/>
                <w:szCs w:val="22"/>
              </w:rPr>
              <w:t>Review the bank’s contracts and agreements with foreign correspondent banks.  Determine whether contracts address procedures for processing and clearing U.S. dollar drafts.</w:t>
            </w:r>
          </w:p>
          <w:p w14:paraId="69624A58" w14:textId="77777777" w:rsidR="00437489" w:rsidRPr="00EC4C3D" w:rsidRDefault="00437489" w:rsidP="00437489">
            <w:pPr>
              <w:pStyle w:val="NumberedBSA-AMLList"/>
              <w:numPr>
                <w:ilvl w:val="0"/>
                <w:numId w:val="32"/>
              </w:numPr>
              <w:spacing w:after="0"/>
              <w:rPr>
                <w:sz w:val="22"/>
                <w:szCs w:val="22"/>
              </w:rPr>
            </w:pPr>
            <w:r w:rsidRPr="00EC4C3D">
              <w:rPr>
                <w:sz w:val="22"/>
                <w:szCs w:val="22"/>
              </w:rPr>
              <w:t>Verify that the bank has obtained and reviewed information about the foreign financial institution’s home country AML regulatory requirements (e.g., customer identification and suspicious activity reporting).</w:t>
            </w:r>
          </w:p>
        </w:tc>
        <w:tc>
          <w:tcPr>
            <w:tcW w:w="5508" w:type="dxa"/>
            <w:shd w:val="clear" w:color="auto" w:fill="auto"/>
          </w:tcPr>
          <w:p w14:paraId="7ACB01FC" w14:textId="77777777" w:rsidR="00437489" w:rsidRPr="00EC4C3D" w:rsidRDefault="00437489" w:rsidP="00FD77C2">
            <w:pPr>
              <w:rPr>
                <w:sz w:val="22"/>
                <w:szCs w:val="22"/>
              </w:rPr>
            </w:pPr>
          </w:p>
        </w:tc>
      </w:tr>
      <w:tr w:rsidR="00437489" w:rsidRPr="00EC4C3D" w14:paraId="54C4F4B2" w14:textId="77777777" w:rsidTr="00FD77C2">
        <w:tc>
          <w:tcPr>
            <w:tcW w:w="5508" w:type="dxa"/>
            <w:shd w:val="clear" w:color="auto" w:fill="auto"/>
          </w:tcPr>
          <w:p w14:paraId="0B1AF531" w14:textId="77777777" w:rsidR="00437489" w:rsidRPr="00EC4C3D" w:rsidRDefault="00437489" w:rsidP="00437489">
            <w:pPr>
              <w:numPr>
                <w:ilvl w:val="0"/>
                <w:numId w:val="30"/>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U.S. dollar drafts.</w:t>
            </w:r>
          </w:p>
        </w:tc>
        <w:tc>
          <w:tcPr>
            <w:tcW w:w="5508" w:type="dxa"/>
            <w:shd w:val="clear" w:color="auto" w:fill="auto"/>
          </w:tcPr>
          <w:p w14:paraId="243D0A68" w14:textId="77777777" w:rsidR="00437489" w:rsidRPr="00EC4C3D" w:rsidRDefault="00437489" w:rsidP="00FD77C2">
            <w:pPr>
              <w:rPr>
                <w:sz w:val="22"/>
                <w:szCs w:val="22"/>
              </w:rPr>
            </w:pPr>
          </w:p>
        </w:tc>
      </w:tr>
    </w:tbl>
    <w:p w14:paraId="44A841C8" w14:textId="77777777" w:rsidR="00666FEA" w:rsidRPr="00437489" w:rsidRDefault="00666FEA" w:rsidP="00437489">
      <w:bookmarkStart w:id="1" w:name="_GoBack"/>
      <w:bookmarkEnd w:id="1"/>
    </w:p>
    <w:sectPr w:rsidR="00666FEA" w:rsidRPr="00437489"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4374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437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4374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4374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22"/>
  </w:num>
  <w:num w:numId="4">
    <w:abstractNumId w:val="25"/>
  </w:num>
  <w:num w:numId="5">
    <w:abstractNumId w:val="6"/>
  </w:num>
  <w:num w:numId="6">
    <w:abstractNumId w:val="29"/>
  </w:num>
  <w:num w:numId="7">
    <w:abstractNumId w:val="15"/>
  </w:num>
  <w:num w:numId="8">
    <w:abstractNumId w:val="28"/>
  </w:num>
  <w:num w:numId="9">
    <w:abstractNumId w:val="26"/>
  </w:num>
  <w:num w:numId="10">
    <w:abstractNumId w:val="5"/>
  </w:num>
  <w:num w:numId="11">
    <w:abstractNumId w:val="20"/>
  </w:num>
  <w:num w:numId="12">
    <w:abstractNumId w:val="12"/>
  </w:num>
  <w:num w:numId="13">
    <w:abstractNumId w:val="31"/>
  </w:num>
  <w:num w:numId="14">
    <w:abstractNumId w:val="24"/>
  </w:num>
  <w:num w:numId="15">
    <w:abstractNumId w:val="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3"/>
  </w:num>
  <w:num w:numId="22">
    <w:abstractNumId w:val="1"/>
  </w:num>
  <w:num w:numId="23">
    <w:abstractNumId w:val="17"/>
  </w:num>
  <w:num w:numId="24">
    <w:abstractNumId w:val="8"/>
  </w:num>
  <w:num w:numId="25">
    <w:abstractNumId w:val="2"/>
  </w:num>
  <w:num w:numId="26">
    <w:abstractNumId w:val="10"/>
  </w:num>
  <w:num w:numId="27">
    <w:abstractNumId w:val="0"/>
  </w:num>
  <w:num w:numId="28">
    <w:abstractNumId w:val="21"/>
  </w:num>
  <w:num w:numId="29">
    <w:abstractNumId w:val="7"/>
  </w:num>
  <w:num w:numId="30">
    <w:abstractNumId w:val="30"/>
  </w:num>
  <w:num w:numId="31">
    <w:abstractNumId w:val="16"/>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53D87"/>
    <w:rsid w:val="001C597F"/>
    <w:rsid w:val="00214C57"/>
    <w:rsid w:val="002456DC"/>
    <w:rsid w:val="002C7896"/>
    <w:rsid w:val="003017B2"/>
    <w:rsid w:val="00381955"/>
    <w:rsid w:val="004076B6"/>
    <w:rsid w:val="00437489"/>
    <w:rsid w:val="0049515A"/>
    <w:rsid w:val="004B1A48"/>
    <w:rsid w:val="00545344"/>
    <w:rsid w:val="00551E98"/>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C1A62"/>
    <w:rsid w:val="008D1B70"/>
    <w:rsid w:val="0092155F"/>
    <w:rsid w:val="00942A1C"/>
    <w:rsid w:val="009A7808"/>
    <w:rsid w:val="00A13081"/>
    <w:rsid w:val="00A33330"/>
    <w:rsid w:val="00A37C93"/>
    <w:rsid w:val="00A9534A"/>
    <w:rsid w:val="00AB7A7D"/>
    <w:rsid w:val="00AC3068"/>
    <w:rsid w:val="00B0373F"/>
    <w:rsid w:val="00B57732"/>
    <w:rsid w:val="00BD16CB"/>
    <w:rsid w:val="00C40DD6"/>
    <w:rsid w:val="00C71445"/>
    <w:rsid w:val="00C73169"/>
    <w:rsid w:val="00C7598C"/>
    <w:rsid w:val="00CC10D0"/>
    <w:rsid w:val="00CE1F59"/>
    <w:rsid w:val="00CF0853"/>
    <w:rsid w:val="00CF7AF0"/>
    <w:rsid w:val="00D8007E"/>
    <w:rsid w:val="00D95CB7"/>
    <w:rsid w:val="00DA7E7B"/>
    <w:rsid w:val="00EC37F2"/>
    <w:rsid w:val="00F338D1"/>
    <w:rsid w:val="00F410AB"/>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90DC-9714-2645-8283-C3C8CC17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Company>CPS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2018-06-06T15:20:00Z</dcterms:created>
  <dcterms:modified xsi:type="dcterms:W3CDTF">2018-06-06T15:20:00Z</dcterms:modified>
</cp:coreProperties>
</file>