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AF70" w14:textId="77777777" w:rsidR="00BD1029" w:rsidRPr="0086047B" w:rsidRDefault="00BD1029" w:rsidP="00BD1029">
      <w:pPr>
        <w:pStyle w:val="Head3-BSA-AML"/>
        <w:rPr>
          <w:sz w:val="36"/>
          <w:szCs w:val="36"/>
        </w:rPr>
      </w:pPr>
      <w:bookmarkStart w:id="0" w:name="_Toc135558592"/>
      <w:r w:rsidRPr="0086047B">
        <w:rPr>
          <w:sz w:val="36"/>
          <w:szCs w:val="36"/>
        </w:rPr>
        <w:t>Examination Procedures</w:t>
      </w:r>
    </w:p>
    <w:p w14:paraId="4974300E" w14:textId="77777777" w:rsidR="00BD1029" w:rsidRDefault="00BD1029" w:rsidP="00BD1029">
      <w:pPr>
        <w:pStyle w:val="Head4-BSA-AML"/>
        <w:jc w:val="center"/>
      </w:pPr>
      <w:r w:rsidRPr="002B1970">
        <w:t>Pouch</w:t>
      </w:r>
      <w:r>
        <w:t xml:space="preserve"> Activities</w:t>
      </w:r>
      <w:bookmarkEnd w:id="0"/>
    </w:p>
    <w:p w14:paraId="09647729" w14:textId="77777777" w:rsidR="00BD1029" w:rsidRDefault="00BD1029" w:rsidP="00BD1029">
      <w:pPr>
        <w:rPr>
          <w:i/>
        </w:rPr>
      </w:pPr>
      <w:bookmarkStart w:id="1" w:name="_Toc133888443"/>
      <w:r>
        <w:rPr>
          <w:rStyle w:val="Head7-BSA-AMLCharChar"/>
        </w:rPr>
        <w:t>Objective.</w:t>
      </w:r>
      <w:r>
        <w:t xml:space="preserve">  </w:t>
      </w:r>
      <w:r w:rsidRPr="00E60116">
        <w:rPr>
          <w:i/>
          <w:sz w:val="24"/>
          <w:szCs w:val="24"/>
        </w:rPr>
        <w:t>Assess the adequacy of the bank’s systems to manage the risks associated with pouch activities, and management’s ability to implement effective monitoring and reporting systems.</w:t>
      </w:r>
      <w:bookmarkEnd w:id="1"/>
    </w:p>
    <w:p w14:paraId="6E3C0CD9" w14:textId="77777777" w:rsidR="00BD1029" w:rsidRDefault="00BD1029" w:rsidP="00BD1029">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5391"/>
      </w:tblGrid>
      <w:tr w:rsidR="00BD1029" w:rsidRPr="00EC4C3D" w14:paraId="38DC72B0" w14:textId="77777777" w:rsidTr="00FD77C2">
        <w:trPr>
          <w:tblHeader/>
        </w:trPr>
        <w:tc>
          <w:tcPr>
            <w:tcW w:w="5508" w:type="dxa"/>
            <w:tcBorders>
              <w:bottom w:val="single" w:sz="4" w:space="0" w:color="auto"/>
            </w:tcBorders>
            <w:shd w:val="clear" w:color="auto" w:fill="E0E0E0"/>
          </w:tcPr>
          <w:p w14:paraId="10C5E070" w14:textId="77777777" w:rsidR="00BD1029" w:rsidRPr="00EC4C3D" w:rsidRDefault="00BD1029"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123FE90E" w14:textId="77777777" w:rsidR="00BD1029" w:rsidRPr="00EC4C3D" w:rsidRDefault="00BD1029" w:rsidP="00FD77C2">
            <w:pPr>
              <w:rPr>
                <w:b/>
                <w:sz w:val="28"/>
                <w:szCs w:val="28"/>
              </w:rPr>
            </w:pPr>
            <w:r w:rsidRPr="00EC4C3D">
              <w:rPr>
                <w:b/>
                <w:sz w:val="28"/>
                <w:szCs w:val="28"/>
              </w:rPr>
              <w:t>Comments</w:t>
            </w:r>
          </w:p>
        </w:tc>
      </w:tr>
      <w:tr w:rsidR="00BD1029" w:rsidRPr="00EC4C3D" w14:paraId="365CA674" w14:textId="77777777" w:rsidTr="00FD77C2">
        <w:tc>
          <w:tcPr>
            <w:tcW w:w="5508" w:type="dxa"/>
            <w:shd w:val="clear" w:color="auto" w:fill="auto"/>
          </w:tcPr>
          <w:p w14:paraId="7C28910B" w14:textId="77777777" w:rsidR="00BD1029" w:rsidRPr="00EC4C3D" w:rsidRDefault="00BD1029" w:rsidP="00BD1029">
            <w:pPr>
              <w:numPr>
                <w:ilvl w:val="0"/>
                <w:numId w:val="37"/>
              </w:numPr>
              <w:rPr>
                <w:sz w:val="22"/>
                <w:szCs w:val="22"/>
              </w:rPr>
            </w:pPr>
            <w:r w:rsidRPr="00EC4C3D">
              <w:rPr>
                <w:sz w:val="22"/>
                <w:szCs w:val="22"/>
              </w:rPr>
              <w:t>Determine whether the bank has incoming or outgoing pouch activity and whether the activity is via carrier or courier.</w:t>
            </w:r>
          </w:p>
        </w:tc>
        <w:tc>
          <w:tcPr>
            <w:tcW w:w="5508" w:type="dxa"/>
            <w:shd w:val="clear" w:color="auto" w:fill="auto"/>
          </w:tcPr>
          <w:p w14:paraId="3B513B4C" w14:textId="77777777" w:rsidR="00BD1029" w:rsidRPr="00EC4C3D" w:rsidRDefault="00BD1029" w:rsidP="00FD77C2">
            <w:pPr>
              <w:rPr>
                <w:sz w:val="22"/>
                <w:szCs w:val="22"/>
              </w:rPr>
            </w:pPr>
          </w:p>
        </w:tc>
      </w:tr>
      <w:tr w:rsidR="00BD1029" w:rsidRPr="00EC4C3D" w14:paraId="4BA661A0" w14:textId="77777777" w:rsidTr="00FD77C2">
        <w:tc>
          <w:tcPr>
            <w:tcW w:w="5508" w:type="dxa"/>
            <w:shd w:val="clear" w:color="auto" w:fill="auto"/>
          </w:tcPr>
          <w:p w14:paraId="1B6A93CC" w14:textId="77777777" w:rsidR="00BD1029" w:rsidRPr="00EC4C3D" w:rsidRDefault="00BD1029" w:rsidP="00BD1029">
            <w:pPr>
              <w:numPr>
                <w:ilvl w:val="0"/>
                <w:numId w:val="37"/>
              </w:numPr>
              <w:rPr>
                <w:sz w:val="22"/>
                <w:szCs w:val="22"/>
              </w:rPr>
            </w:pPr>
            <w:r w:rsidRPr="00EC4C3D">
              <w:rPr>
                <w:sz w:val="22"/>
                <w:szCs w:val="22"/>
              </w:rPr>
              <w:t>Review the policies, procedures, and processes, and any contractual agreements related to pouch activities.  Evaluate the adequacy of the policies, procedures, and processes given the bank’s pouch activities and the risks they present.  Assess whether the controls are adequate to reasonably protect the bank from money laundering and terrorist financing.</w:t>
            </w:r>
          </w:p>
        </w:tc>
        <w:tc>
          <w:tcPr>
            <w:tcW w:w="5508" w:type="dxa"/>
            <w:shd w:val="clear" w:color="auto" w:fill="auto"/>
          </w:tcPr>
          <w:p w14:paraId="62B4C2E9" w14:textId="77777777" w:rsidR="00BD1029" w:rsidRPr="00EC4C3D" w:rsidRDefault="00BD1029" w:rsidP="00FD77C2">
            <w:pPr>
              <w:rPr>
                <w:sz w:val="22"/>
                <w:szCs w:val="22"/>
              </w:rPr>
            </w:pPr>
          </w:p>
        </w:tc>
      </w:tr>
      <w:tr w:rsidR="00BD1029" w:rsidRPr="00EC4C3D" w14:paraId="0C40431F" w14:textId="77777777" w:rsidTr="00FD77C2">
        <w:tc>
          <w:tcPr>
            <w:tcW w:w="5508" w:type="dxa"/>
            <w:shd w:val="clear" w:color="auto" w:fill="auto"/>
          </w:tcPr>
          <w:p w14:paraId="48FC1011" w14:textId="77777777" w:rsidR="00BD1029" w:rsidRPr="00EC4C3D" w:rsidRDefault="00BD1029" w:rsidP="00BD1029">
            <w:pPr>
              <w:numPr>
                <w:ilvl w:val="0"/>
                <w:numId w:val="37"/>
              </w:numPr>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pouch activities.</w:t>
            </w:r>
          </w:p>
        </w:tc>
        <w:tc>
          <w:tcPr>
            <w:tcW w:w="5508" w:type="dxa"/>
            <w:shd w:val="clear" w:color="auto" w:fill="auto"/>
          </w:tcPr>
          <w:p w14:paraId="090126F5" w14:textId="77777777" w:rsidR="00BD1029" w:rsidRPr="00EC4C3D" w:rsidRDefault="00BD1029" w:rsidP="00FD77C2">
            <w:pPr>
              <w:rPr>
                <w:sz w:val="22"/>
                <w:szCs w:val="22"/>
              </w:rPr>
            </w:pPr>
          </w:p>
        </w:tc>
      </w:tr>
      <w:tr w:rsidR="00BD1029" w:rsidRPr="00EC4C3D" w14:paraId="6543EACB" w14:textId="77777777" w:rsidTr="00FD77C2">
        <w:tc>
          <w:tcPr>
            <w:tcW w:w="5508" w:type="dxa"/>
            <w:shd w:val="clear" w:color="auto" w:fill="auto"/>
          </w:tcPr>
          <w:p w14:paraId="185BC5FE" w14:textId="77777777" w:rsidR="00BD1029" w:rsidRPr="00EC4C3D" w:rsidRDefault="00BD1029" w:rsidP="00BD1029">
            <w:pPr>
              <w:numPr>
                <w:ilvl w:val="0"/>
                <w:numId w:val="37"/>
              </w:numPr>
              <w:rPr>
                <w:sz w:val="22"/>
                <w:szCs w:val="22"/>
              </w:rPr>
            </w:pPr>
            <w:r w:rsidRPr="00EC4C3D">
              <w:rPr>
                <w:sz w:val="22"/>
                <w:szCs w:val="22"/>
              </w:rPr>
              <w:t>Determine whether the bank’s system for monitoring pouch activities for suspicious activities, and for reporting suspicious activities, is adequate given the bank’s size, complexity, location, and types of customer relationships.</w:t>
            </w:r>
          </w:p>
        </w:tc>
        <w:tc>
          <w:tcPr>
            <w:tcW w:w="5508" w:type="dxa"/>
            <w:shd w:val="clear" w:color="auto" w:fill="auto"/>
          </w:tcPr>
          <w:p w14:paraId="13C770ED" w14:textId="77777777" w:rsidR="00BD1029" w:rsidRPr="00EC4C3D" w:rsidRDefault="00BD1029" w:rsidP="00FD77C2">
            <w:pPr>
              <w:rPr>
                <w:sz w:val="22"/>
                <w:szCs w:val="22"/>
              </w:rPr>
            </w:pPr>
          </w:p>
        </w:tc>
      </w:tr>
      <w:tr w:rsidR="00BD1029" w:rsidRPr="00EC4C3D" w14:paraId="2D661231" w14:textId="77777777" w:rsidTr="00FD77C2">
        <w:trPr>
          <w:trHeight w:val="1106"/>
        </w:trPr>
        <w:tc>
          <w:tcPr>
            <w:tcW w:w="5508" w:type="dxa"/>
            <w:shd w:val="clear" w:color="auto" w:fill="auto"/>
          </w:tcPr>
          <w:p w14:paraId="79935E83" w14:textId="77777777" w:rsidR="00BD1029" w:rsidRPr="00EC4C3D" w:rsidRDefault="00BD1029" w:rsidP="00BD1029">
            <w:pPr>
              <w:numPr>
                <w:ilvl w:val="0"/>
                <w:numId w:val="37"/>
              </w:numPr>
              <w:rPr>
                <w:sz w:val="22"/>
                <w:szCs w:val="22"/>
              </w:rPr>
            </w:pPr>
            <w:r w:rsidRPr="00EC4C3D">
              <w:rPr>
                <w:sz w:val="22"/>
                <w:szCs w:val="22"/>
              </w:rPr>
              <w:t>Review the list of bank customers permitted to use pouch services (incoming and outgoing).  Determine whether management has assessed the risk of the customers permitted to use this service.</w:t>
            </w:r>
          </w:p>
        </w:tc>
        <w:tc>
          <w:tcPr>
            <w:tcW w:w="5508" w:type="dxa"/>
            <w:shd w:val="clear" w:color="auto" w:fill="auto"/>
          </w:tcPr>
          <w:p w14:paraId="259DAF98" w14:textId="77777777" w:rsidR="00BD1029" w:rsidRPr="00EC4C3D" w:rsidRDefault="00BD1029" w:rsidP="00FD77C2">
            <w:pPr>
              <w:rPr>
                <w:sz w:val="22"/>
                <w:szCs w:val="22"/>
              </w:rPr>
            </w:pPr>
          </w:p>
        </w:tc>
      </w:tr>
      <w:tr w:rsidR="00BD1029" w:rsidRPr="00EC4C3D" w14:paraId="5B775C3E" w14:textId="77777777" w:rsidTr="00FD77C2">
        <w:tc>
          <w:tcPr>
            <w:tcW w:w="5508" w:type="dxa"/>
            <w:shd w:val="clear" w:color="auto" w:fill="auto"/>
          </w:tcPr>
          <w:p w14:paraId="3FD4AF94" w14:textId="77777777" w:rsidR="00BD1029" w:rsidRPr="00EC4C3D" w:rsidRDefault="00BD1029" w:rsidP="00BD1029">
            <w:pPr>
              <w:numPr>
                <w:ilvl w:val="0"/>
                <w:numId w:val="37"/>
              </w:numPr>
              <w:rPr>
                <w:sz w:val="22"/>
                <w:szCs w:val="22"/>
              </w:rPr>
            </w:pPr>
            <w:r w:rsidRPr="00EC4C3D">
              <w:rPr>
                <w:sz w:val="22"/>
                <w:szCs w:val="22"/>
              </w:rPr>
              <w:t>If appropriate, for additional guidance refer to the core examination procedures, “Office of Foreign Assets Control”.</w:t>
            </w:r>
          </w:p>
        </w:tc>
        <w:tc>
          <w:tcPr>
            <w:tcW w:w="5508" w:type="dxa"/>
            <w:shd w:val="clear" w:color="auto" w:fill="auto"/>
          </w:tcPr>
          <w:p w14:paraId="5D608912" w14:textId="77777777" w:rsidR="00BD1029" w:rsidRPr="00EC4C3D" w:rsidRDefault="00BD1029" w:rsidP="00FD77C2">
            <w:pPr>
              <w:rPr>
                <w:sz w:val="22"/>
                <w:szCs w:val="22"/>
              </w:rPr>
            </w:pPr>
          </w:p>
        </w:tc>
      </w:tr>
      <w:tr w:rsidR="00BD1029" w:rsidRPr="00EC4C3D" w14:paraId="4FD9092E" w14:textId="77777777" w:rsidTr="00FD77C2">
        <w:tc>
          <w:tcPr>
            <w:tcW w:w="11016" w:type="dxa"/>
            <w:gridSpan w:val="2"/>
            <w:shd w:val="clear" w:color="auto" w:fill="auto"/>
          </w:tcPr>
          <w:p w14:paraId="0D1A9529" w14:textId="77777777" w:rsidR="00BD1029" w:rsidRPr="00EC4C3D" w:rsidRDefault="00BD1029" w:rsidP="00FD77C2">
            <w:pPr>
              <w:rPr>
                <w:b/>
                <w:sz w:val="28"/>
                <w:szCs w:val="28"/>
              </w:rPr>
            </w:pPr>
            <w:r w:rsidRPr="00EC4C3D">
              <w:rPr>
                <w:b/>
                <w:sz w:val="28"/>
                <w:szCs w:val="28"/>
              </w:rPr>
              <w:t>Transaction Testing</w:t>
            </w:r>
          </w:p>
        </w:tc>
      </w:tr>
      <w:tr w:rsidR="00BD1029" w:rsidRPr="00EC4C3D" w14:paraId="1D6F6D3E" w14:textId="77777777" w:rsidTr="00FD77C2">
        <w:tc>
          <w:tcPr>
            <w:tcW w:w="5508" w:type="dxa"/>
            <w:shd w:val="clear" w:color="auto" w:fill="auto"/>
          </w:tcPr>
          <w:p w14:paraId="544207E5" w14:textId="77777777" w:rsidR="00BD1029" w:rsidRPr="00EC4C3D" w:rsidRDefault="00BD1029" w:rsidP="00BD1029">
            <w:pPr>
              <w:numPr>
                <w:ilvl w:val="0"/>
                <w:numId w:val="37"/>
              </w:numPr>
              <w:rPr>
                <w:sz w:val="22"/>
                <w:szCs w:val="22"/>
              </w:rPr>
            </w:pPr>
            <w:r w:rsidRPr="00EC4C3D">
              <w:rPr>
                <w:sz w:val="22"/>
                <w:szCs w:val="22"/>
              </w:rPr>
              <w:t>On the basis of the bank’s risk assessment of its pouch activities, as well as prior examination and audit reports, and recent activity records, select a sample of daily pouches for review.  Preferably on an unannounced basis and over a period of several days, not necessarily consecutive, observe the pouch opening and the data capture process for items contained in a sample of incoming pouches, and observe the preparation of outgoing pouches.  Review the records and the pouch contents for currency, monetary instruments,</w:t>
            </w:r>
            <w:r w:rsidRPr="00EC4C3D">
              <w:rPr>
                <w:rStyle w:val="FootnoteReference"/>
                <w:sz w:val="22"/>
                <w:szCs w:val="22"/>
              </w:rPr>
              <w:footnoteReference w:id="1"/>
            </w:r>
            <w:r w:rsidRPr="00EC4C3D">
              <w:rPr>
                <w:sz w:val="22"/>
                <w:szCs w:val="22"/>
              </w:rPr>
              <w:t xml:space="preserve"> bearer securities, </w:t>
            </w:r>
            <w:r>
              <w:rPr>
                <w:sz w:val="22"/>
                <w:szCs w:val="22"/>
              </w:rPr>
              <w:t>prepaid</w:t>
            </w:r>
            <w:r w:rsidRPr="00EC4C3D">
              <w:rPr>
                <w:sz w:val="22"/>
                <w:szCs w:val="22"/>
              </w:rPr>
              <w:t xml:space="preserve"> cards, gems, art, illegal substances or contraband, or </w:t>
            </w:r>
            <w:r w:rsidRPr="00EC4C3D">
              <w:rPr>
                <w:sz w:val="22"/>
                <w:szCs w:val="22"/>
              </w:rPr>
              <w:lastRenderedPageBreak/>
              <w:t>other items that should not ordinarily appear in a bank’s pouch.</w:t>
            </w:r>
          </w:p>
        </w:tc>
        <w:tc>
          <w:tcPr>
            <w:tcW w:w="5508" w:type="dxa"/>
            <w:shd w:val="clear" w:color="auto" w:fill="auto"/>
          </w:tcPr>
          <w:p w14:paraId="0435C266" w14:textId="77777777" w:rsidR="00BD1029" w:rsidRPr="00EC4C3D" w:rsidRDefault="00BD1029" w:rsidP="00FD77C2">
            <w:pPr>
              <w:rPr>
                <w:sz w:val="22"/>
                <w:szCs w:val="22"/>
              </w:rPr>
            </w:pPr>
          </w:p>
        </w:tc>
      </w:tr>
      <w:tr w:rsidR="00BD1029" w:rsidRPr="00EC4C3D" w14:paraId="7715F31C" w14:textId="77777777" w:rsidTr="00FD77C2">
        <w:tc>
          <w:tcPr>
            <w:tcW w:w="5508" w:type="dxa"/>
            <w:shd w:val="clear" w:color="auto" w:fill="auto"/>
          </w:tcPr>
          <w:p w14:paraId="56BEA11D" w14:textId="77777777" w:rsidR="00BD1029" w:rsidRPr="00EC4C3D" w:rsidRDefault="00BD1029" w:rsidP="00BD1029">
            <w:pPr>
              <w:numPr>
                <w:ilvl w:val="0"/>
                <w:numId w:val="37"/>
              </w:numPr>
              <w:rPr>
                <w:sz w:val="22"/>
                <w:szCs w:val="22"/>
              </w:rPr>
            </w:pPr>
            <w:r w:rsidRPr="00EC4C3D">
              <w:rPr>
                <w:sz w:val="22"/>
                <w:szCs w:val="22"/>
              </w:rPr>
              <w:t>If the courier, or the referral agent who works for the courier, has an account with the bank, review an appropriate sample of their account activity.</w:t>
            </w:r>
          </w:p>
        </w:tc>
        <w:tc>
          <w:tcPr>
            <w:tcW w:w="5508" w:type="dxa"/>
            <w:shd w:val="clear" w:color="auto" w:fill="auto"/>
          </w:tcPr>
          <w:p w14:paraId="6A37BB36" w14:textId="77777777" w:rsidR="00BD1029" w:rsidRPr="00EC4C3D" w:rsidRDefault="00BD1029" w:rsidP="00FD77C2">
            <w:pPr>
              <w:rPr>
                <w:sz w:val="22"/>
                <w:szCs w:val="22"/>
              </w:rPr>
            </w:pPr>
          </w:p>
        </w:tc>
      </w:tr>
      <w:tr w:rsidR="00BD1029" w:rsidRPr="00EC4C3D" w14:paraId="72A1E83E" w14:textId="77777777" w:rsidTr="00FD77C2">
        <w:tc>
          <w:tcPr>
            <w:tcW w:w="5508" w:type="dxa"/>
            <w:shd w:val="clear" w:color="auto" w:fill="auto"/>
          </w:tcPr>
          <w:p w14:paraId="201C79FA" w14:textId="77777777" w:rsidR="00BD1029" w:rsidRPr="00EC4C3D" w:rsidRDefault="00BD1029" w:rsidP="00BD1029">
            <w:pPr>
              <w:numPr>
                <w:ilvl w:val="0"/>
                <w:numId w:val="37"/>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pouch activity.</w:t>
            </w:r>
          </w:p>
        </w:tc>
        <w:tc>
          <w:tcPr>
            <w:tcW w:w="5508" w:type="dxa"/>
            <w:shd w:val="clear" w:color="auto" w:fill="auto"/>
          </w:tcPr>
          <w:p w14:paraId="7F802895" w14:textId="77777777" w:rsidR="00BD1029" w:rsidRPr="00EC4C3D" w:rsidRDefault="00BD1029" w:rsidP="00FD77C2">
            <w:pPr>
              <w:rPr>
                <w:sz w:val="22"/>
                <w:szCs w:val="22"/>
              </w:rPr>
            </w:pPr>
          </w:p>
        </w:tc>
      </w:tr>
    </w:tbl>
    <w:p w14:paraId="44A841C8" w14:textId="77777777" w:rsidR="00666FEA" w:rsidRPr="00BD1029" w:rsidRDefault="00666FEA" w:rsidP="00BD1029">
      <w:bookmarkStart w:id="2" w:name="_GoBack"/>
      <w:bookmarkEnd w:id="2"/>
    </w:p>
    <w:sectPr w:rsidR="00666FEA" w:rsidRPr="00BD1029"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BD10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BD1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 w:id="1">
    <w:p w14:paraId="48578623" w14:textId="77777777" w:rsidR="00BD1029" w:rsidRDefault="00BD1029" w:rsidP="00BD1029">
      <w:pPr>
        <w:pStyle w:val="Bodyfootnote-BSA-AML"/>
      </w:pPr>
      <w:r>
        <w:rPr>
          <w:rStyle w:val="FootnoteReference"/>
        </w:rPr>
        <w:footnoteRef/>
      </w:r>
      <w:r>
        <w:t xml:space="preserve"> For additional guidance, refer to core examination procedures, “International Transportation of Currency or Monetary Instruments Reporting</w:t>
      </w:r>
      <w:r w:rsidRPr="00C37AF3">
        <w:t xml:space="preserve">,” page </w:t>
      </w:r>
      <w:r w:rsidRPr="00C37AF3">
        <w:rPr>
          <w:szCs w:val="24"/>
        </w:rPr>
        <w:t>14</w:t>
      </w:r>
      <w:r>
        <w:rPr>
          <w:szCs w:val="24"/>
        </w:rPr>
        <w:t xml:space="preserve">1 of the manual, </w:t>
      </w:r>
      <w:r>
        <w:t>for additional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BD10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BD10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3CDE"/>
    <w:multiLevelType w:val="hybridMultilevel"/>
    <w:tmpl w:val="AD8E9C4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9452F"/>
    <w:multiLevelType w:val="hybridMultilevel"/>
    <w:tmpl w:val="89365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C56520"/>
    <w:multiLevelType w:val="hybridMultilevel"/>
    <w:tmpl w:val="A90A5DC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43338"/>
    <w:multiLevelType w:val="hybridMultilevel"/>
    <w:tmpl w:val="5D2E44F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C31D81"/>
    <w:multiLevelType w:val="hybridMultilevel"/>
    <w:tmpl w:val="92CC0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734AE"/>
    <w:multiLevelType w:val="hybridMultilevel"/>
    <w:tmpl w:val="FCC22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CB3275"/>
    <w:multiLevelType w:val="hybridMultilevel"/>
    <w:tmpl w:val="7674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EE7CE0"/>
    <w:multiLevelType w:val="hybridMultilevel"/>
    <w:tmpl w:val="C1A2DB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A1AF3"/>
    <w:multiLevelType w:val="hybridMultilevel"/>
    <w:tmpl w:val="A71C732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B7675A"/>
    <w:multiLevelType w:val="hybridMultilevel"/>
    <w:tmpl w:val="CA909408"/>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3B13F9"/>
    <w:multiLevelType w:val="hybridMultilevel"/>
    <w:tmpl w:val="405EA11C"/>
    <w:lvl w:ilvl="0" w:tplc="FBD6E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17DA3"/>
    <w:multiLevelType w:val="hybridMultilevel"/>
    <w:tmpl w:val="31F86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6C4BD7"/>
    <w:multiLevelType w:val="hybridMultilevel"/>
    <w:tmpl w:val="E8440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43909E3"/>
    <w:multiLevelType w:val="hybridMultilevel"/>
    <w:tmpl w:val="EE1642F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BB08EF"/>
    <w:multiLevelType w:val="hybridMultilevel"/>
    <w:tmpl w:val="F0F80AE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D14BDF"/>
    <w:multiLevelType w:val="hybridMultilevel"/>
    <w:tmpl w:val="8048D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5450AE"/>
    <w:multiLevelType w:val="hybridMultilevel"/>
    <w:tmpl w:val="BCD2598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93D9F"/>
    <w:multiLevelType w:val="hybridMultilevel"/>
    <w:tmpl w:val="1BDE8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60462A62"/>
    <w:multiLevelType w:val="hybridMultilevel"/>
    <w:tmpl w:val="6B565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0D7B59"/>
    <w:multiLevelType w:val="hybridMultilevel"/>
    <w:tmpl w:val="5D782CE8"/>
    <w:lvl w:ilvl="0" w:tplc="67383292">
      <w:start w:val="1"/>
      <w:numFmt w:val="decimal"/>
      <w:lvlText w:val="%1."/>
      <w:lvlJc w:val="left"/>
      <w:pPr>
        <w:tabs>
          <w:tab w:val="num" w:pos="360"/>
        </w:tabs>
        <w:ind w:left="360" w:hanging="360"/>
      </w:pPr>
      <w:rPr>
        <w:b w:val="0"/>
      </w:r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7166A6"/>
    <w:multiLevelType w:val="hybridMultilevel"/>
    <w:tmpl w:val="C1B843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3293B"/>
    <w:multiLevelType w:val="hybridMultilevel"/>
    <w:tmpl w:val="DA243F3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C009EC"/>
    <w:multiLevelType w:val="hybridMultilevel"/>
    <w:tmpl w:val="8A9CEC7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EA3949"/>
    <w:multiLevelType w:val="hybridMultilevel"/>
    <w:tmpl w:val="0256E7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6B655D"/>
    <w:multiLevelType w:val="hybridMultilevel"/>
    <w:tmpl w:val="FAF4F43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F329FC"/>
    <w:multiLevelType w:val="hybridMultilevel"/>
    <w:tmpl w:val="3D787A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E5D068E"/>
    <w:multiLevelType w:val="hybridMultilevel"/>
    <w:tmpl w:val="B680C45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25"/>
  </w:num>
  <w:num w:numId="4">
    <w:abstractNumId w:val="29"/>
  </w:num>
  <w:num w:numId="5">
    <w:abstractNumId w:val="6"/>
  </w:num>
  <w:num w:numId="6">
    <w:abstractNumId w:val="34"/>
  </w:num>
  <w:num w:numId="7">
    <w:abstractNumId w:val="18"/>
  </w:num>
  <w:num w:numId="8">
    <w:abstractNumId w:val="32"/>
  </w:num>
  <w:num w:numId="9">
    <w:abstractNumId w:val="30"/>
  </w:num>
  <w:num w:numId="10">
    <w:abstractNumId w:val="5"/>
  </w:num>
  <w:num w:numId="11">
    <w:abstractNumId w:val="23"/>
  </w:num>
  <w:num w:numId="12">
    <w:abstractNumId w:val="14"/>
  </w:num>
  <w:num w:numId="13">
    <w:abstractNumId w:val="36"/>
  </w:num>
  <w:num w:numId="14">
    <w:abstractNumId w:val="28"/>
  </w:num>
  <w:num w:numId="15">
    <w:abstractNumId w:val="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7"/>
  </w:num>
  <w:num w:numId="22">
    <w:abstractNumId w:val="1"/>
  </w:num>
  <w:num w:numId="23">
    <w:abstractNumId w:val="20"/>
  </w:num>
  <w:num w:numId="24">
    <w:abstractNumId w:val="9"/>
  </w:num>
  <w:num w:numId="25">
    <w:abstractNumId w:val="2"/>
  </w:num>
  <w:num w:numId="26">
    <w:abstractNumId w:val="11"/>
  </w:num>
  <w:num w:numId="27">
    <w:abstractNumId w:val="0"/>
  </w:num>
  <w:num w:numId="28">
    <w:abstractNumId w:val="24"/>
  </w:num>
  <w:num w:numId="29">
    <w:abstractNumId w:val="8"/>
  </w:num>
  <w:num w:numId="30">
    <w:abstractNumId w:val="35"/>
  </w:num>
  <w:num w:numId="31">
    <w:abstractNumId w:val="19"/>
  </w:num>
  <w:num w:numId="32">
    <w:abstractNumId w:val="21"/>
  </w:num>
  <w:num w:numId="33">
    <w:abstractNumId w:val="12"/>
  </w:num>
  <w:num w:numId="34">
    <w:abstractNumId w:val="33"/>
  </w:num>
  <w:num w:numId="35">
    <w:abstractNumId w:val="16"/>
  </w:num>
  <w:num w:numId="36">
    <w:abstractNumId w:val="26"/>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B6182"/>
    <w:rsid w:val="00153D87"/>
    <w:rsid w:val="001C597F"/>
    <w:rsid w:val="00214C57"/>
    <w:rsid w:val="002456DC"/>
    <w:rsid w:val="002C7896"/>
    <w:rsid w:val="003017B2"/>
    <w:rsid w:val="00381955"/>
    <w:rsid w:val="004076B6"/>
    <w:rsid w:val="00437489"/>
    <w:rsid w:val="0049515A"/>
    <w:rsid w:val="004B1A48"/>
    <w:rsid w:val="00545344"/>
    <w:rsid w:val="00551E98"/>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C1A62"/>
    <w:rsid w:val="008D1B70"/>
    <w:rsid w:val="0092155F"/>
    <w:rsid w:val="00942A1C"/>
    <w:rsid w:val="009A7808"/>
    <w:rsid w:val="009E57B6"/>
    <w:rsid w:val="00A13081"/>
    <w:rsid w:val="00A33330"/>
    <w:rsid w:val="00A37C93"/>
    <w:rsid w:val="00A9534A"/>
    <w:rsid w:val="00AB7A7D"/>
    <w:rsid w:val="00AC3068"/>
    <w:rsid w:val="00B0373F"/>
    <w:rsid w:val="00B57732"/>
    <w:rsid w:val="00BD1029"/>
    <w:rsid w:val="00BD16CB"/>
    <w:rsid w:val="00C40DD6"/>
    <w:rsid w:val="00C71445"/>
    <w:rsid w:val="00C73169"/>
    <w:rsid w:val="00C7598C"/>
    <w:rsid w:val="00CC10D0"/>
    <w:rsid w:val="00CE1F59"/>
    <w:rsid w:val="00CF0853"/>
    <w:rsid w:val="00CF7AF0"/>
    <w:rsid w:val="00D8007E"/>
    <w:rsid w:val="00D95CB7"/>
    <w:rsid w:val="00DA7E7B"/>
    <w:rsid w:val="00EC37F2"/>
    <w:rsid w:val="00F338D1"/>
    <w:rsid w:val="00F410AB"/>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491D-54F7-3047-B317-F183D856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CPS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2018-06-06T15:21:00Z</dcterms:created>
  <dcterms:modified xsi:type="dcterms:W3CDTF">2018-06-06T15:21:00Z</dcterms:modified>
</cp:coreProperties>
</file>