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B303F" w14:textId="77777777" w:rsidR="0053220B" w:rsidRPr="0086047B" w:rsidRDefault="0053220B" w:rsidP="0053220B">
      <w:pPr>
        <w:pStyle w:val="Head3-BSA-AML"/>
        <w:rPr>
          <w:sz w:val="36"/>
          <w:szCs w:val="36"/>
        </w:rPr>
      </w:pPr>
      <w:bookmarkStart w:id="0" w:name="_Toc135558594"/>
      <w:r w:rsidRPr="0086047B">
        <w:rPr>
          <w:sz w:val="36"/>
          <w:szCs w:val="36"/>
        </w:rPr>
        <w:t>Examination Procedures</w:t>
      </w:r>
    </w:p>
    <w:p w14:paraId="6936A179" w14:textId="77777777" w:rsidR="0053220B" w:rsidRDefault="0053220B" w:rsidP="0053220B">
      <w:pPr>
        <w:pStyle w:val="Head4-BSA-AML"/>
        <w:jc w:val="center"/>
      </w:pPr>
      <w:r>
        <w:t>Electronic Banking</w:t>
      </w:r>
      <w:bookmarkEnd w:id="0"/>
    </w:p>
    <w:p w14:paraId="6FDD8ED3" w14:textId="77777777" w:rsidR="0053220B" w:rsidRDefault="0053220B" w:rsidP="0053220B">
      <w:pPr>
        <w:pStyle w:val="Body-BSA-AML"/>
        <w:rPr>
          <w:szCs w:val="24"/>
        </w:rPr>
      </w:pPr>
      <w:bookmarkStart w:id="1" w:name="_Toc133888444"/>
      <w:r>
        <w:rPr>
          <w:rStyle w:val="Head7-BSA-AMLCharChar"/>
        </w:rPr>
        <w:t>Objective.</w:t>
      </w:r>
      <w:r>
        <w:t xml:space="preserve">  </w:t>
      </w:r>
      <w:r w:rsidRPr="00F01823">
        <w:rPr>
          <w:i/>
        </w:rPr>
        <w:t>Assess the adequacy of the bank</w:t>
      </w:r>
      <w:r>
        <w:rPr>
          <w:i/>
        </w:rPr>
        <w:t>’</w:t>
      </w:r>
      <w:r w:rsidRPr="00F01823">
        <w:rPr>
          <w:i/>
        </w:rPr>
        <w:t xml:space="preserve">s systems to manage the risks associated with electronic banking (e-banking) customers, </w:t>
      </w:r>
      <w:r>
        <w:rPr>
          <w:i/>
        </w:rPr>
        <w:t xml:space="preserve">including Remote Deposit Capture (RDC) activity, </w:t>
      </w:r>
      <w:r w:rsidRPr="00F01823">
        <w:rPr>
          <w:i/>
        </w:rPr>
        <w:t>and management</w:t>
      </w:r>
      <w:r>
        <w:rPr>
          <w:i/>
        </w:rPr>
        <w:t>’</w:t>
      </w:r>
      <w:r w:rsidRPr="00F01823">
        <w:rPr>
          <w:i/>
        </w:rPr>
        <w:t>s ability to implement effective monitoring and reporting systems.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5383"/>
      </w:tblGrid>
      <w:tr w:rsidR="0053220B" w:rsidRPr="00EC4C3D" w14:paraId="75A81332" w14:textId="77777777" w:rsidTr="00FD77C2">
        <w:trPr>
          <w:tblHeader/>
        </w:trPr>
        <w:tc>
          <w:tcPr>
            <w:tcW w:w="5508" w:type="dxa"/>
            <w:tcBorders>
              <w:bottom w:val="single" w:sz="4" w:space="0" w:color="auto"/>
            </w:tcBorders>
            <w:shd w:val="clear" w:color="auto" w:fill="E0E0E0"/>
          </w:tcPr>
          <w:p w14:paraId="21BD15C3" w14:textId="77777777" w:rsidR="0053220B" w:rsidRPr="00EC4C3D" w:rsidRDefault="0053220B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Procedure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E0E0E0"/>
          </w:tcPr>
          <w:p w14:paraId="6DF89CE6" w14:textId="77777777" w:rsidR="0053220B" w:rsidRPr="00EC4C3D" w:rsidRDefault="0053220B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Comments</w:t>
            </w:r>
          </w:p>
        </w:tc>
      </w:tr>
      <w:tr w:rsidR="0053220B" w:rsidRPr="00EC4C3D" w14:paraId="12F9F53C" w14:textId="77777777" w:rsidTr="00FD77C2">
        <w:tc>
          <w:tcPr>
            <w:tcW w:w="5508" w:type="dxa"/>
            <w:shd w:val="clear" w:color="auto" w:fill="auto"/>
          </w:tcPr>
          <w:p w14:paraId="4BF557E1" w14:textId="77777777" w:rsidR="0053220B" w:rsidRPr="00EC4C3D" w:rsidRDefault="0053220B" w:rsidP="0053220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Review the policies, procedures, and processes related to e-banking, including RDC activity as appropriate.  Evaluate the adequacy of the policies, procedures, and processes given the bank’s e-banking activities and the risks they present.  Assess whether the controls are adequate to reasonably protect the bank from money laundering and terrorist financing.</w:t>
            </w:r>
          </w:p>
        </w:tc>
        <w:tc>
          <w:tcPr>
            <w:tcW w:w="5508" w:type="dxa"/>
            <w:shd w:val="clear" w:color="auto" w:fill="auto"/>
          </w:tcPr>
          <w:p w14:paraId="1E39302D" w14:textId="77777777" w:rsidR="0053220B" w:rsidRPr="00EC4C3D" w:rsidRDefault="0053220B" w:rsidP="00FD77C2">
            <w:pPr>
              <w:rPr>
                <w:sz w:val="22"/>
                <w:szCs w:val="22"/>
              </w:rPr>
            </w:pPr>
          </w:p>
        </w:tc>
      </w:tr>
      <w:tr w:rsidR="0053220B" w:rsidRPr="00EC4C3D" w14:paraId="4899A13D" w14:textId="77777777" w:rsidTr="00FD77C2">
        <w:tc>
          <w:tcPr>
            <w:tcW w:w="5508" w:type="dxa"/>
            <w:shd w:val="clear" w:color="auto" w:fill="auto"/>
          </w:tcPr>
          <w:p w14:paraId="1A41ABD5" w14:textId="77777777" w:rsidR="0053220B" w:rsidRPr="00EC4C3D" w:rsidRDefault="0053220B" w:rsidP="0053220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EC4C3D">
              <w:rPr>
                <w:bCs/>
                <w:sz w:val="22"/>
                <w:szCs w:val="22"/>
              </w:rPr>
              <w:t>From</w:t>
            </w:r>
            <w:r w:rsidRPr="00EC4C3D">
              <w:rPr>
                <w:sz w:val="22"/>
                <w:szCs w:val="22"/>
              </w:rPr>
              <w:t xml:space="preserve"> a review of MIS and internal risk rating factors, determine whether the bank </w:t>
            </w:r>
            <w:r w:rsidRPr="00EC4C3D">
              <w:rPr>
                <w:iCs/>
                <w:sz w:val="22"/>
                <w:szCs w:val="22"/>
              </w:rPr>
              <w:t xml:space="preserve">effectively </w:t>
            </w:r>
            <w:r w:rsidRPr="00EC4C3D">
              <w:rPr>
                <w:sz w:val="22"/>
                <w:szCs w:val="22"/>
              </w:rPr>
              <w:t>identifies and monitors high</w:t>
            </w:r>
            <w:r>
              <w:rPr>
                <w:sz w:val="22"/>
                <w:szCs w:val="22"/>
              </w:rPr>
              <w:t>er</w:t>
            </w:r>
            <w:r w:rsidRPr="00EC4C3D">
              <w:rPr>
                <w:sz w:val="22"/>
                <w:szCs w:val="22"/>
              </w:rPr>
              <w:t>-risk e-banking activities.</w:t>
            </w:r>
          </w:p>
        </w:tc>
        <w:tc>
          <w:tcPr>
            <w:tcW w:w="5508" w:type="dxa"/>
            <w:shd w:val="clear" w:color="auto" w:fill="auto"/>
          </w:tcPr>
          <w:p w14:paraId="6469C439" w14:textId="77777777" w:rsidR="0053220B" w:rsidRPr="00EC4C3D" w:rsidRDefault="0053220B" w:rsidP="00FD77C2">
            <w:pPr>
              <w:rPr>
                <w:sz w:val="22"/>
                <w:szCs w:val="22"/>
              </w:rPr>
            </w:pPr>
          </w:p>
        </w:tc>
      </w:tr>
      <w:tr w:rsidR="0053220B" w:rsidRPr="00EC4C3D" w14:paraId="0A52EDDC" w14:textId="77777777" w:rsidTr="00FD77C2">
        <w:tc>
          <w:tcPr>
            <w:tcW w:w="5508" w:type="dxa"/>
            <w:shd w:val="clear" w:color="auto" w:fill="auto"/>
          </w:tcPr>
          <w:p w14:paraId="48CB7587" w14:textId="77777777" w:rsidR="0053220B" w:rsidRPr="00EC4C3D" w:rsidRDefault="0053220B" w:rsidP="0053220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Determine whether the bank’s system for monitoring e-banking, including RDC activity as appropriate, for suspicious activities, and for reporting suspicious activities, is adequate given the bank’s size, complexity, location, and types of customer relationships.</w:t>
            </w:r>
          </w:p>
        </w:tc>
        <w:tc>
          <w:tcPr>
            <w:tcW w:w="5508" w:type="dxa"/>
            <w:shd w:val="clear" w:color="auto" w:fill="auto"/>
          </w:tcPr>
          <w:p w14:paraId="4068AA1D" w14:textId="77777777" w:rsidR="0053220B" w:rsidRPr="00EC4C3D" w:rsidRDefault="0053220B" w:rsidP="00FD77C2">
            <w:pPr>
              <w:rPr>
                <w:sz w:val="22"/>
                <w:szCs w:val="22"/>
              </w:rPr>
            </w:pPr>
          </w:p>
        </w:tc>
      </w:tr>
      <w:tr w:rsidR="0053220B" w:rsidRPr="00EC4C3D" w14:paraId="24E7BFD6" w14:textId="77777777" w:rsidTr="00FD77C2">
        <w:tc>
          <w:tcPr>
            <w:tcW w:w="5508" w:type="dxa"/>
            <w:shd w:val="clear" w:color="auto" w:fill="auto"/>
          </w:tcPr>
          <w:p w14:paraId="2A7BC3CD" w14:textId="77777777" w:rsidR="0053220B" w:rsidRPr="00EC4C3D" w:rsidRDefault="0053220B" w:rsidP="0053220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If appropriate, for additional guidance refer to the core examination procedures, “Office of Foreign Assets Control”.</w:t>
            </w:r>
          </w:p>
        </w:tc>
        <w:tc>
          <w:tcPr>
            <w:tcW w:w="5508" w:type="dxa"/>
            <w:shd w:val="clear" w:color="auto" w:fill="auto"/>
          </w:tcPr>
          <w:p w14:paraId="69134FC2" w14:textId="77777777" w:rsidR="0053220B" w:rsidRPr="00EC4C3D" w:rsidRDefault="0053220B" w:rsidP="00FD77C2">
            <w:pPr>
              <w:rPr>
                <w:sz w:val="22"/>
                <w:szCs w:val="22"/>
              </w:rPr>
            </w:pPr>
          </w:p>
        </w:tc>
      </w:tr>
      <w:tr w:rsidR="0053220B" w:rsidRPr="00EC4C3D" w14:paraId="361DF505" w14:textId="77777777" w:rsidTr="00FD77C2">
        <w:tc>
          <w:tcPr>
            <w:tcW w:w="11016" w:type="dxa"/>
            <w:gridSpan w:val="2"/>
            <w:shd w:val="clear" w:color="auto" w:fill="auto"/>
          </w:tcPr>
          <w:p w14:paraId="69B73FF8" w14:textId="77777777" w:rsidR="0053220B" w:rsidRPr="00EC4C3D" w:rsidRDefault="0053220B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Transaction Testing</w:t>
            </w:r>
          </w:p>
        </w:tc>
      </w:tr>
      <w:tr w:rsidR="0053220B" w:rsidRPr="00EC4C3D" w14:paraId="62B09D4B" w14:textId="77777777" w:rsidTr="00FD77C2">
        <w:tc>
          <w:tcPr>
            <w:tcW w:w="5508" w:type="dxa"/>
            <w:shd w:val="clear" w:color="auto" w:fill="auto"/>
          </w:tcPr>
          <w:p w14:paraId="364D982F" w14:textId="77777777" w:rsidR="0053220B" w:rsidRPr="00EC4C3D" w:rsidRDefault="0053220B" w:rsidP="0053220B">
            <w:pPr>
              <w:pStyle w:val="NumberedBSA-AMLList"/>
              <w:numPr>
                <w:ilvl w:val="0"/>
                <w:numId w:val="38"/>
              </w:numPr>
              <w:spacing w:after="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On the basis of the bank’s risk assessment of its e-banking activities, as well as prior examination and audit reports, select a sample of e-banking accounts.  From the sample selected, perform the following procedures:</w:t>
            </w:r>
          </w:p>
          <w:p w14:paraId="59D414F8" w14:textId="77777777" w:rsidR="0053220B" w:rsidRPr="00EC4C3D" w:rsidRDefault="0053220B" w:rsidP="0053220B">
            <w:pPr>
              <w:pStyle w:val="Bulletlist2ndlevel-BSA-AML"/>
              <w:numPr>
                <w:ilvl w:val="0"/>
                <w:numId w:val="39"/>
              </w:numPr>
              <w:tabs>
                <w:tab w:val="left" w:pos="360"/>
              </w:tabs>
              <w:spacing w:after="0"/>
              <w:rPr>
                <w:sz w:val="22"/>
                <w:szCs w:val="22"/>
              </w:rPr>
            </w:pPr>
            <w:r w:rsidRPr="00EC4C3D">
              <w:rPr>
                <w:bCs/>
                <w:sz w:val="22"/>
                <w:szCs w:val="22"/>
              </w:rPr>
              <w:t>Review account opening</w:t>
            </w:r>
            <w:r w:rsidRPr="00EC4C3D">
              <w:rPr>
                <w:sz w:val="22"/>
                <w:szCs w:val="22"/>
              </w:rPr>
              <w:t xml:space="preserve"> documentation, including CIP</w:t>
            </w:r>
            <w:r>
              <w:rPr>
                <w:sz w:val="22"/>
                <w:szCs w:val="22"/>
              </w:rPr>
              <w:t>, ongoing CDD,</w:t>
            </w:r>
            <w:r w:rsidRPr="00EC4C3D">
              <w:rPr>
                <w:sz w:val="22"/>
                <w:szCs w:val="22"/>
              </w:rPr>
              <w:t xml:space="preserve"> and transaction history.</w:t>
            </w:r>
          </w:p>
          <w:p w14:paraId="38355C64" w14:textId="77777777" w:rsidR="0053220B" w:rsidRPr="00EC4C3D" w:rsidRDefault="0053220B" w:rsidP="0053220B">
            <w:pPr>
              <w:pStyle w:val="Bulletlist2ndlevel-BSA-AML"/>
              <w:numPr>
                <w:ilvl w:val="0"/>
                <w:numId w:val="39"/>
              </w:numPr>
              <w:tabs>
                <w:tab w:val="left" w:pos="360"/>
              </w:tabs>
              <w:spacing w:after="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Compare expected activity with actual activity.</w:t>
            </w:r>
          </w:p>
          <w:p w14:paraId="72262A30" w14:textId="77777777" w:rsidR="0053220B" w:rsidRPr="00EC4C3D" w:rsidRDefault="0053220B" w:rsidP="0053220B">
            <w:pPr>
              <w:pStyle w:val="Bulletlist2ndlevel-BSA-AML"/>
              <w:numPr>
                <w:ilvl w:val="0"/>
                <w:numId w:val="39"/>
              </w:numPr>
              <w:tabs>
                <w:tab w:val="left" w:pos="360"/>
              </w:tabs>
              <w:spacing w:after="0"/>
              <w:rPr>
                <w:bCs/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Determine whether the activity is </w:t>
            </w:r>
            <w:r w:rsidRPr="00EC4C3D">
              <w:rPr>
                <w:bCs/>
                <w:sz w:val="22"/>
                <w:szCs w:val="22"/>
              </w:rPr>
              <w:t>consistent with the nature of the customer’s business.</w:t>
            </w:r>
          </w:p>
          <w:p w14:paraId="3D2D66AD" w14:textId="77777777" w:rsidR="0053220B" w:rsidRPr="00EC4C3D" w:rsidRDefault="0053220B" w:rsidP="0053220B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EC4C3D">
              <w:rPr>
                <w:bCs/>
                <w:sz w:val="22"/>
                <w:szCs w:val="22"/>
              </w:rPr>
              <w:t>Identify any unusual or suspicious activity.</w:t>
            </w:r>
          </w:p>
        </w:tc>
        <w:tc>
          <w:tcPr>
            <w:tcW w:w="5508" w:type="dxa"/>
            <w:shd w:val="clear" w:color="auto" w:fill="auto"/>
          </w:tcPr>
          <w:p w14:paraId="11C8E2C7" w14:textId="77777777" w:rsidR="0053220B" w:rsidRPr="00EC4C3D" w:rsidRDefault="0053220B" w:rsidP="00FD77C2">
            <w:pPr>
              <w:rPr>
                <w:sz w:val="22"/>
                <w:szCs w:val="22"/>
              </w:rPr>
            </w:pPr>
          </w:p>
        </w:tc>
      </w:tr>
      <w:tr w:rsidR="0053220B" w:rsidRPr="00EC4C3D" w14:paraId="3EFAEBC2" w14:textId="77777777" w:rsidTr="00FD77C2">
        <w:tc>
          <w:tcPr>
            <w:tcW w:w="5508" w:type="dxa"/>
            <w:shd w:val="clear" w:color="auto" w:fill="auto"/>
          </w:tcPr>
          <w:p w14:paraId="2C8F3E82" w14:textId="77777777" w:rsidR="0053220B" w:rsidRPr="00EC4C3D" w:rsidRDefault="0053220B" w:rsidP="0053220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EC4C3D">
              <w:rPr>
                <w:bCs/>
                <w:sz w:val="22"/>
                <w:szCs w:val="22"/>
              </w:rPr>
              <w:t xml:space="preserve">On the basis of examination procedures </w:t>
            </w:r>
            <w:r w:rsidRPr="00EC4C3D">
              <w:rPr>
                <w:sz w:val="22"/>
                <w:szCs w:val="22"/>
              </w:rPr>
              <w:t>completed, including transaction testing, form a conclusion about the adequacy of policies, procedures, and processes associated with e-banking relationships.</w:t>
            </w:r>
          </w:p>
        </w:tc>
        <w:tc>
          <w:tcPr>
            <w:tcW w:w="5508" w:type="dxa"/>
            <w:shd w:val="clear" w:color="auto" w:fill="auto"/>
          </w:tcPr>
          <w:p w14:paraId="0E5DC929" w14:textId="77777777" w:rsidR="0053220B" w:rsidRPr="00EC4C3D" w:rsidRDefault="0053220B" w:rsidP="00FD77C2">
            <w:pPr>
              <w:rPr>
                <w:sz w:val="22"/>
                <w:szCs w:val="22"/>
              </w:rPr>
            </w:pPr>
          </w:p>
        </w:tc>
      </w:tr>
    </w:tbl>
    <w:p w14:paraId="44A841C8" w14:textId="77777777" w:rsidR="00666FEA" w:rsidRPr="0053220B" w:rsidRDefault="00666FEA" w:rsidP="0053220B">
      <w:bookmarkStart w:id="2" w:name="_GoBack"/>
      <w:bookmarkEnd w:id="2"/>
    </w:p>
    <w:sectPr w:rsidR="00666FEA" w:rsidRPr="0053220B" w:rsidSect="00C7316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7D98" w14:textId="77777777" w:rsidR="001C597F" w:rsidRDefault="001C597F" w:rsidP="001C597F">
      <w:r>
        <w:separator/>
      </w:r>
    </w:p>
  </w:endnote>
  <w:endnote w:type="continuationSeparator" w:id="0">
    <w:p w14:paraId="5633C99E" w14:textId="77777777" w:rsidR="001C597F" w:rsidRDefault="001C597F" w:rsidP="001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03037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DB2F8" w14:textId="7710F3EC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0AC88" w14:textId="77777777" w:rsidR="001C597F" w:rsidRDefault="001C597F" w:rsidP="001C597F">
    <w:pPr>
      <w:pStyle w:val="Footer"/>
      <w:ind w:right="360"/>
    </w:pPr>
  </w:p>
  <w:p w14:paraId="41EAB179" w14:textId="77777777" w:rsidR="00000000" w:rsidRDefault="005322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04421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FE43D" w14:textId="04593D23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244419A" w14:textId="77777777" w:rsidR="00000000" w:rsidRDefault="00532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9F992" w14:textId="77777777" w:rsidR="001C597F" w:rsidRDefault="001C597F" w:rsidP="001C597F">
      <w:r>
        <w:separator/>
      </w:r>
    </w:p>
  </w:footnote>
  <w:footnote w:type="continuationSeparator" w:id="0">
    <w:p w14:paraId="7EF8D909" w14:textId="77777777" w:rsidR="001C597F" w:rsidRDefault="001C597F" w:rsidP="001C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1C9F" w14:textId="77777777" w:rsidR="00644539" w:rsidRDefault="00644539">
    <w:pPr>
      <w:pStyle w:val="Header"/>
    </w:pPr>
  </w:p>
  <w:p w14:paraId="480ABDD4" w14:textId="77777777" w:rsidR="00000000" w:rsidRDefault="005322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3DF3" w14:textId="36B61658" w:rsidR="001C597F" w:rsidRDefault="001C597F" w:rsidP="001C597F">
    <w:pPr>
      <w:pStyle w:val="Header"/>
      <w:jc w:val="right"/>
      <w:rPr>
        <w:sz w:val="22"/>
        <w:szCs w:val="22"/>
      </w:rPr>
    </w:pPr>
    <w:r w:rsidRPr="00DC1BB9">
      <w:rPr>
        <w:sz w:val="22"/>
        <w:szCs w:val="22"/>
      </w:rPr>
      <w:t>BSA/AML</w:t>
    </w:r>
    <w:r>
      <w:rPr>
        <w:sz w:val="22"/>
        <w:szCs w:val="22"/>
      </w:rPr>
      <w:t xml:space="preserve"> </w:t>
    </w:r>
    <w:r w:rsidR="00644539">
      <w:rPr>
        <w:sz w:val="22"/>
        <w:szCs w:val="22"/>
      </w:rPr>
      <w:t>Examination Procedures</w:t>
    </w:r>
  </w:p>
  <w:p w14:paraId="12E4F8F4" w14:textId="77777777" w:rsidR="00000000" w:rsidRDefault="005322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3CDE"/>
    <w:multiLevelType w:val="hybridMultilevel"/>
    <w:tmpl w:val="AD8E9C4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9452F"/>
    <w:multiLevelType w:val="hybridMultilevel"/>
    <w:tmpl w:val="893654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56520"/>
    <w:multiLevelType w:val="hybridMultilevel"/>
    <w:tmpl w:val="A90A5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43338"/>
    <w:multiLevelType w:val="hybridMultilevel"/>
    <w:tmpl w:val="5D2E44FE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1D81"/>
    <w:multiLevelType w:val="hybridMultilevel"/>
    <w:tmpl w:val="92C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E95353"/>
    <w:multiLevelType w:val="hybridMultilevel"/>
    <w:tmpl w:val="C2B67C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725D6D"/>
    <w:multiLevelType w:val="hybridMultilevel"/>
    <w:tmpl w:val="C4D80B56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34133"/>
    <w:multiLevelType w:val="hybridMultilevel"/>
    <w:tmpl w:val="41444E32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734AE"/>
    <w:multiLevelType w:val="hybridMultilevel"/>
    <w:tmpl w:val="FCC225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B3275"/>
    <w:multiLevelType w:val="hybridMultilevel"/>
    <w:tmpl w:val="7674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E7CE0"/>
    <w:multiLevelType w:val="hybridMultilevel"/>
    <w:tmpl w:val="C1A2DB56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D5B21"/>
    <w:multiLevelType w:val="hybridMultilevel"/>
    <w:tmpl w:val="132000B2"/>
    <w:lvl w:ilvl="0" w:tplc="E77AC2B4">
      <w:start w:val="1"/>
      <w:numFmt w:val="bullet"/>
      <w:pStyle w:val="BulletlistBSA-AM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C88D6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1AF3"/>
    <w:multiLevelType w:val="hybridMultilevel"/>
    <w:tmpl w:val="A71C73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B7675A"/>
    <w:multiLevelType w:val="hybridMultilevel"/>
    <w:tmpl w:val="CA9094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3B13F9"/>
    <w:multiLevelType w:val="hybridMultilevel"/>
    <w:tmpl w:val="405EA11C"/>
    <w:lvl w:ilvl="0" w:tplc="FBD6E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17DA3"/>
    <w:multiLevelType w:val="hybridMultilevel"/>
    <w:tmpl w:val="31F867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6C4BD7"/>
    <w:multiLevelType w:val="hybridMultilevel"/>
    <w:tmpl w:val="E844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3909E3"/>
    <w:multiLevelType w:val="hybridMultilevel"/>
    <w:tmpl w:val="EE1642F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B40FB"/>
    <w:multiLevelType w:val="multilevel"/>
    <w:tmpl w:val="4FDE7A30"/>
    <w:lvl w:ilvl="0">
      <w:start w:val="1"/>
      <w:numFmt w:val="decimal"/>
      <w:pStyle w:val="Numberedlist-BSA-AM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95007"/>
    <w:multiLevelType w:val="hybridMultilevel"/>
    <w:tmpl w:val="E9A299D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BB08EF"/>
    <w:multiLevelType w:val="hybridMultilevel"/>
    <w:tmpl w:val="F0F80AE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D14BDF"/>
    <w:multiLevelType w:val="hybridMultilevel"/>
    <w:tmpl w:val="8048D3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09148B"/>
    <w:multiLevelType w:val="hybridMultilevel"/>
    <w:tmpl w:val="C17A0A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5450AE"/>
    <w:multiLevelType w:val="hybridMultilevel"/>
    <w:tmpl w:val="BCD25982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93D9F"/>
    <w:multiLevelType w:val="hybridMultilevel"/>
    <w:tmpl w:val="1BDE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462A62"/>
    <w:multiLevelType w:val="hybridMultilevel"/>
    <w:tmpl w:val="6B565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0D7B59"/>
    <w:multiLevelType w:val="hybridMultilevel"/>
    <w:tmpl w:val="5D782CE8"/>
    <w:lvl w:ilvl="0" w:tplc="67383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BD6AC8"/>
    <w:multiLevelType w:val="hybridMultilevel"/>
    <w:tmpl w:val="8F8A4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22194">
      <w:start w:val="1"/>
      <w:numFmt w:val="bullet"/>
      <w:pStyle w:val="Bullet-3rdlevelBSA-AM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166A6"/>
    <w:multiLevelType w:val="hybridMultilevel"/>
    <w:tmpl w:val="C1B843BC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3293B"/>
    <w:multiLevelType w:val="hybridMultilevel"/>
    <w:tmpl w:val="DA243F3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C009EC"/>
    <w:multiLevelType w:val="hybridMultilevel"/>
    <w:tmpl w:val="8A9CEC7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038F6"/>
    <w:multiLevelType w:val="hybridMultilevel"/>
    <w:tmpl w:val="69D44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5138B7"/>
    <w:multiLevelType w:val="hybridMultilevel"/>
    <w:tmpl w:val="E6829CE8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A3949"/>
    <w:multiLevelType w:val="hybridMultilevel"/>
    <w:tmpl w:val="0256E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A36398"/>
    <w:multiLevelType w:val="hybridMultilevel"/>
    <w:tmpl w:val="2DBCF20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B655D"/>
    <w:multiLevelType w:val="hybridMultilevel"/>
    <w:tmpl w:val="FAF4F43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0F77D7"/>
    <w:multiLevelType w:val="hybridMultilevel"/>
    <w:tmpl w:val="9294AE6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F329FC"/>
    <w:multiLevelType w:val="hybridMultilevel"/>
    <w:tmpl w:val="3D787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5D068E"/>
    <w:multiLevelType w:val="hybridMultilevel"/>
    <w:tmpl w:val="B680C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27"/>
  </w:num>
  <w:num w:numId="4">
    <w:abstractNumId w:val="31"/>
  </w:num>
  <w:num w:numId="5">
    <w:abstractNumId w:val="7"/>
  </w:num>
  <w:num w:numId="6">
    <w:abstractNumId w:val="36"/>
  </w:num>
  <w:num w:numId="7">
    <w:abstractNumId w:val="19"/>
  </w:num>
  <w:num w:numId="8">
    <w:abstractNumId w:val="34"/>
  </w:num>
  <w:num w:numId="9">
    <w:abstractNumId w:val="32"/>
  </w:num>
  <w:num w:numId="10">
    <w:abstractNumId w:val="5"/>
  </w:num>
  <w:num w:numId="11">
    <w:abstractNumId w:val="25"/>
  </w:num>
  <w:num w:numId="12">
    <w:abstractNumId w:val="15"/>
  </w:num>
  <w:num w:numId="13">
    <w:abstractNumId w:val="38"/>
  </w:num>
  <w:num w:numId="14">
    <w:abstractNumId w:val="30"/>
  </w:num>
  <w:num w:numId="15">
    <w:abstractNumId w:val="3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9"/>
  </w:num>
  <w:num w:numId="22">
    <w:abstractNumId w:val="1"/>
  </w:num>
  <w:num w:numId="23">
    <w:abstractNumId w:val="21"/>
  </w:num>
  <w:num w:numId="24">
    <w:abstractNumId w:val="10"/>
  </w:num>
  <w:num w:numId="25">
    <w:abstractNumId w:val="2"/>
  </w:num>
  <w:num w:numId="26">
    <w:abstractNumId w:val="12"/>
  </w:num>
  <w:num w:numId="27">
    <w:abstractNumId w:val="0"/>
  </w:num>
  <w:num w:numId="28">
    <w:abstractNumId w:val="26"/>
  </w:num>
  <w:num w:numId="29">
    <w:abstractNumId w:val="9"/>
  </w:num>
  <w:num w:numId="30">
    <w:abstractNumId w:val="37"/>
  </w:num>
  <w:num w:numId="31">
    <w:abstractNumId w:val="20"/>
  </w:num>
  <w:num w:numId="32">
    <w:abstractNumId w:val="23"/>
  </w:num>
  <w:num w:numId="33">
    <w:abstractNumId w:val="13"/>
  </w:num>
  <w:num w:numId="34">
    <w:abstractNumId w:val="35"/>
  </w:num>
  <w:num w:numId="35">
    <w:abstractNumId w:val="17"/>
  </w:num>
  <w:num w:numId="36">
    <w:abstractNumId w:val="28"/>
  </w:num>
  <w:num w:numId="37">
    <w:abstractNumId w:val="8"/>
  </w:num>
  <w:num w:numId="38">
    <w:abstractNumId w:val="22"/>
  </w:num>
  <w:num w:numId="3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69"/>
    <w:rsid w:val="000136F5"/>
    <w:rsid w:val="00027635"/>
    <w:rsid w:val="000435AD"/>
    <w:rsid w:val="00065C4D"/>
    <w:rsid w:val="000B6182"/>
    <w:rsid w:val="00153D87"/>
    <w:rsid w:val="001C597F"/>
    <w:rsid w:val="00214C57"/>
    <w:rsid w:val="002456DC"/>
    <w:rsid w:val="002C7896"/>
    <w:rsid w:val="003017B2"/>
    <w:rsid w:val="00381955"/>
    <w:rsid w:val="004076B6"/>
    <w:rsid w:val="00437489"/>
    <w:rsid w:val="0049515A"/>
    <w:rsid w:val="004B1A48"/>
    <w:rsid w:val="0053220B"/>
    <w:rsid w:val="00545344"/>
    <w:rsid w:val="00551E98"/>
    <w:rsid w:val="005A483D"/>
    <w:rsid w:val="005C0EA2"/>
    <w:rsid w:val="005F5D49"/>
    <w:rsid w:val="00644539"/>
    <w:rsid w:val="0066634D"/>
    <w:rsid w:val="00666FEA"/>
    <w:rsid w:val="00667D9C"/>
    <w:rsid w:val="00693331"/>
    <w:rsid w:val="006938EE"/>
    <w:rsid w:val="00695FE5"/>
    <w:rsid w:val="00711436"/>
    <w:rsid w:val="0074091F"/>
    <w:rsid w:val="007C1396"/>
    <w:rsid w:val="007D2166"/>
    <w:rsid w:val="008218DF"/>
    <w:rsid w:val="0082386F"/>
    <w:rsid w:val="00827065"/>
    <w:rsid w:val="00833BB0"/>
    <w:rsid w:val="008C1A62"/>
    <w:rsid w:val="008D1B70"/>
    <w:rsid w:val="0092155F"/>
    <w:rsid w:val="00942A1C"/>
    <w:rsid w:val="009A7808"/>
    <w:rsid w:val="009E57B6"/>
    <w:rsid w:val="00A13081"/>
    <w:rsid w:val="00A33330"/>
    <w:rsid w:val="00A37C93"/>
    <w:rsid w:val="00A9534A"/>
    <w:rsid w:val="00AB7A7D"/>
    <w:rsid w:val="00AC3068"/>
    <w:rsid w:val="00B0373F"/>
    <w:rsid w:val="00B57732"/>
    <w:rsid w:val="00BD1029"/>
    <w:rsid w:val="00BD16CB"/>
    <w:rsid w:val="00C40DD6"/>
    <w:rsid w:val="00C71445"/>
    <w:rsid w:val="00C73169"/>
    <w:rsid w:val="00C7598C"/>
    <w:rsid w:val="00CC10D0"/>
    <w:rsid w:val="00CE1F59"/>
    <w:rsid w:val="00CF0853"/>
    <w:rsid w:val="00CF7AF0"/>
    <w:rsid w:val="00D8007E"/>
    <w:rsid w:val="00D95CB7"/>
    <w:rsid w:val="00DA7E7B"/>
    <w:rsid w:val="00EC37F2"/>
    <w:rsid w:val="00F338D1"/>
    <w:rsid w:val="00F410AB"/>
    <w:rsid w:val="00F8164C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4A3731"/>
  <w14:defaultImageDpi w14:val="300"/>
  <w15:chartTrackingRefBased/>
  <w15:docId w15:val="{B954B535-FA18-0B4B-81C9-0E80C28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9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3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BSA-AML">
    <w:name w:val="Body-BSA-AML"/>
    <w:link w:val="Body-BSA-AMLChar"/>
    <w:rsid w:val="001C597F"/>
    <w:pPr>
      <w:tabs>
        <w:tab w:val="left" w:pos="360"/>
      </w:tabs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Head7-BSA-AMLCharChar">
    <w:name w:val="Head 7-BSA-AML Char Char"/>
    <w:rsid w:val="001C597F"/>
    <w:rPr>
      <w:b/>
      <w:sz w:val="24"/>
      <w:lang w:val="en-US" w:eastAsia="en-US"/>
    </w:rPr>
  </w:style>
  <w:style w:type="character" w:customStyle="1" w:styleId="Body-BSA-AMLChar">
    <w:name w:val="Body-BSA-AML Char"/>
    <w:link w:val="Body-BSA-AML"/>
    <w:locked/>
    <w:rsid w:val="001C597F"/>
    <w:rPr>
      <w:rFonts w:ascii="Times New Roman" w:eastAsia="Times New Roman" w:hAnsi="Times New Roman" w:cs="Times New Roman"/>
      <w:szCs w:val="20"/>
    </w:rPr>
  </w:style>
  <w:style w:type="paragraph" w:customStyle="1" w:styleId="Head3-BSA-AML">
    <w:name w:val="Head 3-BSA-AML"/>
    <w:basedOn w:val="Heading3"/>
    <w:next w:val="Body-BSA-AML"/>
    <w:rsid w:val="001C597F"/>
    <w:pPr>
      <w:keepLines w:val="0"/>
      <w:spacing w:before="120" w:after="240"/>
      <w:jc w:val="center"/>
    </w:pPr>
    <w:rPr>
      <w:rFonts w:ascii="Times New Roman" w:eastAsia="Times New Roman" w:hAnsi="Times New Roman" w:cs="Arial"/>
      <w:b/>
      <w:bCs/>
      <w:color w:val="auto"/>
      <w:sz w:val="44"/>
      <w:szCs w:val="26"/>
    </w:rPr>
  </w:style>
  <w:style w:type="paragraph" w:customStyle="1" w:styleId="Numberedlist-BSA-AML">
    <w:name w:val="Numbered list-BSA-AML"/>
    <w:basedOn w:val="Normal"/>
    <w:next w:val="Body-BSA-AML"/>
    <w:rsid w:val="001C597F"/>
    <w:pPr>
      <w:numPr>
        <w:numId w:val="1"/>
      </w:numPr>
      <w:spacing w:after="200"/>
    </w:pPr>
    <w:rPr>
      <w:sz w:val="24"/>
      <w:szCs w:val="24"/>
    </w:rPr>
  </w:style>
  <w:style w:type="paragraph" w:customStyle="1" w:styleId="Bulletlist2ndlevel-BSA-AML">
    <w:name w:val="Bullet list 2nd level-BSA-AML"/>
    <w:basedOn w:val="ListBullet"/>
    <w:next w:val="Body-BSA-AML"/>
    <w:link w:val="Bulletlist2ndlevel-BSA-AMLChar"/>
    <w:rsid w:val="001C597F"/>
    <w:pPr>
      <w:spacing w:after="200"/>
      <w:contextualSpacing w:val="0"/>
    </w:pPr>
    <w:rPr>
      <w:sz w:val="24"/>
    </w:rPr>
  </w:style>
  <w:style w:type="character" w:customStyle="1" w:styleId="Bulletlist2ndlevel-BSA-AMLChar">
    <w:name w:val="Bullet list 2nd level-BSA-AML Char"/>
    <w:link w:val="Bulletlist2ndlevel-BSA-AML"/>
    <w:locked/>
    <w:rsid w:val="001C597F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9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Bullet">
    <w:name w:val="List Bullet"/>
    <w:basedOn w:val="Normal"/>
    <w:uiPriority w:val="99"/>
    <w:semiHidden/>
    <w:unhideWhenUsed/>
    <w:rsid w:val="001C597F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597F"/>
  </w:style>
  <w:style w:type="paragraph" w:customStyle="1" w:styleId="Head4-BSA-AML">
    <w:name w:val="Head 4-BSA-AML"/>
    <w:basedOn w:val="Heading4"/>
    <w:next w:val="Body-BSA-AML"/>
    <w:rsid w:val="00827065"/>
    <w:pPr>
      <w:keepLines w:val="0"/>
      <w:tabs>
        <w:tab w:val="left" w:pos="360"/>
      </w:tabs>
      <w:spacing w:before="0" w:after="200"/>
    </w:pPr>
    <w:rPr>
      <w:rFonts w:ascii="Times New Roman" w:eastAsia="Times New Roman" w:hAnsi="Times New Roman" w:cs="Times New Roman"/>
      <w:b/>
      <w:bCs/>
      <w:i w:val="0"/>
      <w:iCs w:val="0"/>
      <w:color w:val="auto"/>
      <w:sz w:val="36"/>
      <w:szCs w:val="28"/>
    </w:rPr>
  </w:style>
  <w:style w:type="paragraph" w:customStyle="1" w:styleId="BulletlistBSA-AML">
    <w:name w:val="Bullet list (BSA-AML)"/>
    <w:next w:val="Body-BSA-AML"/>
    <w:link w:val="BulletlistBSA-AMLCharChar"/>
    <w:rsid w:val="00827065"/>
    <w:pPr>
      <w:numPr>
        <w:numId w:val="2"/>
      </w:numPr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BulletlistBSA-AMLCharChar">
    <w:name w:val="Bullet list (BSA-AML) Char Char"/>
    <w:basedOn w:val="DefaultParagraphFont"/>
    <w:link w:val="BulletlistBSA-AML"/>
    <w:rsid w:val="00827065"/>
    <w:rPr>
      <w:rFonts w:ascii="Times New Roman" w:eastAsia="Times New Roman" w:hAnsi="Times New Roman" w:cs="Times New Roman"/>
      <w:szCs w:val="20"/>
    </w:rPr>
  </w:style>
  <w:style w:type="character" w:customStyle="1" w:styleId="Bodyindent-BSA-AMLChar">
    <w:name w:val="Body indent-BSA-AML Char"/>
    <w:basedOn w:val="DefaultParagraphFont"/>
    <w:rsid w:val="00827065"/>
    <w:rPr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06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NumberedBSA-AMLList">
    <w:name w:val="Numbered BSA-AML List"/>
    <w:basedOn w:val="Normal"/>
    <w:next w:val="Body-BSA-AML"/>
    <w:link w:val="NumberedBSA-AMLListChar"/>
    <w:rsid w:val="0066634D"/>
    <w:pPr>
      <w:tabs>
        <w:tab w:val="left" w:pos="360"/>
      </w:tabs>
      <w:spacing w:after="200"/>
      <w:ind w:left="360" w:hanging="360"/>
    </w:pPr>
    <w:rPr>
      <w:sz w:val="24"/>
    </w:rPr>
  </w:style>
  <w:style w:type="character" w:customStyle="1" w:styleId="NumberedBSA-AMLListChar">
    <w:name w:val="Numbered BSA-AML List Char"/>
    <w:basedOn w:val="DefaultParagraphFont"/>
    <w:link w:val="NumberedBSA-AMLList"/>
    <w:rsid w:val="0066634D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aliases w:val="Footnote Reference-BSA-AML"/>
    <w:basedOn w:val="DefaultParagraphFont"/>
    <w:uiPriority w:val="99"/>
    <w:rsid w:val="008218DF"/>
    <w:rPr>
      <w:rFonts w:ascii="Times New Roman" w:hAnsi="Times New Roman"/>
      <w:sz w:val="20"/>
      <w:szCs w:val="24"/>
      <w:vertAlign w:val="superscript"/>
      <w:lang w:val="en-US" w:eastAsia="en-US" w:bidi="ar-SA"/>
    </w:rPr>
  </w:style>
  <w:style w:type="paragraph" w:customStyle="1" w:styleId="Bodyfootnote-BSA-AML">
    <w:name w:val="Body footnote-BSA-AML"/>
    <w:basedOn w:val="FootnoteText"/>
    <w:link w:val="Bodyfootnote-BSA-AMLChar"/>
    <w:rsid w:val="008218DF"/>
    <w:pPr>
      <w:spacing w:after="120"/>
    </w:pPr>
  </w:style>
  <w:style w:type="character" w:customStyle="1" w:styleId="Bodyfootnote-BSA-AMLChar">
    <w:name w:val="Body footnote-BSA-AML Char"/>
    <w:basedOn w:val="DefaultParagraphFont"/>
    <w:link w:val="Bodyfootnote-BSA-AML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218DF"/>
  </w:style>
  <w:style w:type="character" w:customStyle="1" w:styleId="FootnoteTextChar">
    <w:name w:val="Footnote Text Char"/>
    <w:basedOn w:val="DefaultParagraphFont"/>
    <w:link w:val="FootnoteText"/>
    <w:uiPriority w:val="99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74091F"/>
    <w:pPr>
      <w:ind w:left="720"/>
    </w:pPr>
    <w:rPr>
      <w:sz w:val="24"/>
      <w:szCs w:val="24"/>
    </w:rPr>
  </w:style>
  <w:style w:type="paragraph" w:customStyle="1" w:styleId="Bodyindent-BSA-AML">
    <w:name w:val="Body indent-BSA-AML"/>
    <w:basedOn w:val="Body-BSA-AML"/>
    <w:next w:val="Body-BSA-AML"/>
    <w:rsid w:val="00214C57"/>
    <w:pPr>
      <w:ind w:left="360"/>
    </w:pPr>
  </w:style>
  <w:style w:type="paragraph" w:customStyle="1" w:styleId="Bullet-3rdlevelBSA-AML">
    <w:name w:val="Bullet-3rd level BSA-AML"/>
    <w:basedOn w:val="BulletlistBSA-AML"/>
    <w:next w:val="Body-BSA-AML"/>
    <w:rsid w:val="009A7808"/>
    <w:pPr>
      <w:widowControl w:val="0"/>
      <w:numPr>
        <w:ilvl w:val="1"/>
        <w:numId w:val="3"/>
      </w:numPr>
      <w:tabs>
        <w:tab w:val="clear" w:pos="1080"/>
      </w:tabs>
      <w:autoSpaceDE w:val="0"/>
      <w:autoSpaceDN w:val="0"/>
      <w:adjustRightInd w:val="0"/>
    </w:pPr>
    <w:rPr>
      <w:szCs w:val="24"/>
    </w:rPr>
  </w:style>
  <w:style w:type="paragraph" w:customStyle="1" w:styleId="Head7-BSA-AML">
    <w:name w:val="Head 7-BSA-AML"/>
    <w:basedOn w:val="Heading7"/>
    <w:next w:val="Body-BSA-AML"/>
    <w:link w:val="Head7-BSA-AMLChar"/>
    <w:rsid w:val="007C1396"/>
    <w:pPr>
      <w:keepNext w:val="0"/>
      <w:keepLines w:val="0"/>
      <w:spacing w:before="0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</w:rPr>
  </w:style>
  <w:style w:type="character" w:customStyle="1" w:styleId="Head7-BSA-AMLChar">
    <w:name w:val="Head 7-BSA-AML Char"/>
    <w:basedOn w:val="DefaultParagraphFont"/>
    <w:link w:val="Head7-BSA-AML"/>
    <w:rsid w:val="007C1396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39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styleId="Hyperlink">
    <w:name w:val="Hyperlink"/>
    <w:basedOn w:val="DefaultParagraphFont"/>
    <w:rsid w:val="00F81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77DCDC-8A05-7940-8E45-1174D095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CPS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J. Attard</dc:creator>
  <cp:keywords/>
  <dc:description/>
  <cp:lastModifiedBy>Adam J. Attard</cp:lastModifiedBy>
  <cp:revision>2</cp:revision>
  <dcterms:created xsi:type="dcterms:W3CDTF">2018-06-06T15:21:00Z</dcterms:created>
  <dcterms:modified xsi:type="dcterms:W3CDTF">2018-06-06T15:21:00Z</dcterms:modified>
</cp:coreProperties>
</file>