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629EC" w14:textId="77777777" w:rsidR="004241FF" w:rsidRPr="0086047B" w:rsidRDefault="004241FF" w:rsidP="004241FF">
      <w:pPr>
        <w:pStyle w:val="Head3-BSA-AML"/>
        <w:rPr>
          <w:sz w:val="36"/>
          <w:szCs w:val="36"/>
        </w:rPr>
      </w:pPr>
      <w:bookmarkStart w:id="0" w:name="_Toc135558625"/>
      <w:r w:rsidRPr="0086047B">
        <w:rPr>
          <w:sz w:val="36"/>
          <w:szCs w:val="36"/>
        </w:rPr>
        <w:t>Examination Procedures</w:t>
      </w:r>
    </w:p>
    <w:p w14:paraId="7512FC20" w14:textId="77777777" w:rsidR="004241FF" w:rsidRDefault="004241FF" w:rsidP="004241FF">
      <w:pPr>
        <w:pStyle w:val="Head4-BSA-AML"/>
        <w:jc w:val="center"/>
      </w:pPr>
      <w:r>
        <w:t>Nonresident Aliens and Foreign Individuals</w:t>
      </w:r>
      <w:bookmarkEnd w:id="0"/>
    </w:p>
    <w:p w14:paraId="745F5D12" w14:textId="77777777" w:rsidR="004241FF" w:rsidRDefault="004241FF" w:rsidP="004241FF">
      <w:pPr>
        <w:rPr>
          <w:i/>
        </w:rPr>
      </w:pPr>
      <w:r>
        <w:rPr>
          <w:rStyle w:val="Head7-BSA-AMLCharChar"/>
        </w:rPr>
        <w:t>Objective</w:t>
      </w:r>
      <w:r w:rsidRPr="00F16152">
        <w:rPr>
          <w:rStyle w:val="Head7-BSA-AMLCharChar"/>
        </w:rPr>
        <w:t>.</w:t>
      </w:r>
      <w:r w:rsidRPr="00F16152">
        <w:t xml:space="preserve">  </w:t>
      </w:r>
      <w:r w:rsidRPr="000764F6">
        <w:rPr>
          <w:i/>
          <w:sz w:val="24"/>
          <w:szCs w:val="24"/>
        </w:rPr>
        <w:t>Assess the adequacy of the bank’s systems to manage the risks associated with transactions involving accounts held by nonresident aliens (NRA) and foreign individuals, and management’s ability to implement effective due diligence, monitoring, and reporting systems.</w:t>
      </w:r>
    </w:p>
    <w:p w14:paraId="098268B7" w14:textId="77777777" w:rsidR="004241FF" w:rsidRDefault="004241FF" w:rsidP="004241FF">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5"/>
        <w:gridCol w:w="5385"/>
      </w:tblGrid>
      <w:tr w:rsidR="004241FF" w:rsidRPr="00EC4C3D" w14:paraId="048EECB4" w14:textId="77777777" w:rsidTr="00FD77C2">
        <w:trPr>
          <w:tblHeader/>
        </w:trPr>
        <w:tc>
          <w:tcPr>
            <w:tcW w:w="5508" w:type="dxa"/>
            <w:tcBorders>
              <w:bottom w:val="single" w:sz="4" w:space="0" w:color="auto"/>
            </w:tcBorders>
            <w:shd w:val="clear" w:color="auto" w:fill="E0E0E0"/>
          </w:tcPr>
          <w:p w14:paraId="6AF7DA9E" w14:textId="77777777" w:rsidR="004241FF" w:rsidRPr="00EC4C3D" w:rsidRDefault="004241FF"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418ACAB2" w14:textId="77777777" w:rsidR="004241FF" w:rsidRPr="00EC4C3D" w:rsidRDefault="004241FF" w:rsidP="00FD77C2">
            <w:pPr>
              <w:rPr>
                <w:b/>
                <w:sz w:val="28"/>
                <w:szCs w:val="28"/>
              </w:rPr>
            </w:pPr>
            <w:r w:rsidRPr="00EC4C3D">
              <w:rPr>
                <w:b/>
                <w:sz w:val="28"/>
                <w:szCs w:val="28"/>
              </w:rPr>
              <w:t>Comments</w:t>
            </w:r>
          </w:p>
        </w:tc>
      </w:tr>
      <w:tr w:rsidR="004241FF" w:rsidRPr="00EC4C3D" w14:paraId="79A1198C" w14:textId="77777777" w:rsidTr="00FD77C2">
        <w:tc>
          <w:tcPr>
            <w:tcW w:w="5508" w:type="dxa"/>
            <w:shd w:val="clear" w:color="auto" w:fill="auto"/>
          </w:tcPr>
          <w:p w14:paraId="7A1B674A" w14:textId="77777777" w:rsidR="004241FF" w:rsidRPr="00EC4C3D" w:rsidRDefault="004241FF" w:rsidP="004241FF">
            <w:pPr>
              <w:numPr>
                <w:ilvl w:val="0"/>
                <w:numId w:val="32"/>
              </w:numPr>
              <w:rPr>
                <w:sz w:val="22"/>
                <w:szCs w:val="22"/>
              </w:rPr>
            </w:pPr>
            <w:r w:rsidRPr="00EC4C3D">
              <w:rPr>
                <w:sz w:val="22"/>
                <w:szCs w:val="22"/>
              </w:rPr>
              <w:t>Review the bank’s policies, procedures, and processes related to NRA and foreign individual accounts.  Evaluate the adequacy of the policies, procedures, and processes given the bank’s nonresident alien and foreign individual activities and the risks they represent.  Assess whether the controls are adequate to reasonably protect the bank from money laundering and terrorist financing.</w:t>
            </w:r>
          </w:p>
        </w:tc>
        <w:tc>
          <w:tcPr>
            <w:tcW w:w="5508" w:type="dxa"/>
            <w:shd w:val="clear" w:color="auto" w:fill="auto"/>
          </w:tcPr>
          <w:p w14:paraId="0856810A" w14:textId="77777777" w:rsidR="004241FF" w:rsidRPr="00EC4C3D" w:rsidRDefault="004241FF" w:rsidP="00FD77C2">
            <w:pPr>
              <w:rPr>
                <w:sz w:val="22"/>
                <w:szCs w:val="22"/>
              </w:rPr>
            </w:pPr>
          </w:p>
        </w:tc>
      </w:tr>
      <w:tr w:rsidR="004241FF" w:rsidRPr="00EC4C3D" w14:paraId="418BE5B2" w14:textId="77777777" w:rsidTr="00FD77C2">
        <w:tc>
          <w:tcPr>
            <w:tcW w:w="5508" w:type="dxa"/>
            <w:shd w:val="clear" w:color="auto" w:fill="auto"/>
          </w:tcPr>
          <w:p w14:paraId="345E038D" w14:textId="77777777" w:rsidR="004241FF" w:rsidRPr="00EC4C3D" w:rsidRDefault="004241FF" w:rsidP="004241FF">
            <w:pPr>
              <w:numPr>
                <w:ilvl w:val="0"/>
                <w:numId w:val="32"/>
              </w:numPr>
              <w:rPr>
                <w:sz w:val="22"/>
                <w:szCs w:val="22"/>
              </w:rPr>
            </w:pPr>
            <w:r w:rsidRPr="00EC4C3D">
              <w:rPr>
                <w:bCs/>
                <w:sz w:val="22"/>
                <w:szCs w:val="22"/>
              </w:rPr>
              <w:t>From</w:t>
            </w:r>
            <w:r w:rsidRPr="00EC4C3D">
              <w:rPr>
                <w:sz w:val="22"/>
                <w:szCs w:val="22"/>
              </w:rPr>
              <w:t xml:space="preserve"> a review of MIS and internal risk rating factors, determine whether the bank </w:t>
            </w:r>
            <w:r w:rsidRPr="00EC4C3D">
              <w:rPr>
                <w:iCs/>
                <w:sz w:val="22"/>
                <w:szCs w:val="22"/>
              </w:rPr>
              <w:t xml:space="preserve">effectively </w:t>
            </w:r>
            <w:r w:rsidRPr="00EC4C3D">
              <w:rPr>
                <w:sz w:val="22"/>
                <w:szCs w:val="22"/>
              </w:rPr>
              <w:t>identifies and monitors high</w:t>
            </w:r>
            <w:r>
              <w:rPr>
                <w:sz w:val="22"/>
                <w:szCs w:val="22"/>
              </w:rPr>
              <w:t>er</w:t>
            </w:r>
            <w:r w:rsidRPr="00EC4C3D">
              <w:rPr>
                <w:sz w:val="22"/>
                <w:szCs w:val="22"/>
              </w:rPr>
              <w:t>-risk NRA and foreign individual accounts.</w:t>
            </w:r>
          </w:p>
        </w:tc>
        <w:tc>
          <w:tcPr>
            <w:tcW w:w="5508" w:type="dxa"/>
            <w:shd w:val="clear" w:color="auto" w:fill="auto"/>
          </w:tcPr>
          <w:p w14:paraId="15BAFD16" w14:textId="77777777" w:rsidR="004241FF" w:rsidRPr="00EC4C3D" w:rsidRDefault="004241FF" w:rsidP="00FD77C2">
            <w:pPr>
              <w:rPr>
                <w:sz w:val="22"/>
                <w:szCs w:val="22"/>
              </w:rPr>
            </w:pPr>
          </w:p>
        </w:tc>
      </w:tr>
      <w:tr w:rsidR="004241FF" w:rsidRPr="00EC4C3D" w14:paraId="2C66EE71" w14:textId="77777777" w:rsidTr="00FD77C2">
        <w:tc>
          <w:tcPr>
            <w:tcW w:w="5508" w:type="dxa"/>
            <w:shd w:val="clear" w:color="auto" w:fill="auto"/>
          </w:tcPr>
          <w:p w14:paraId="2EF7BA0D" w14:textId="77777777" w:rsidR="004241FF" w:rsidRPr="00EC4C3D" w:rsidRDefault="004241FF" w:rsidP="004241FF">
            <w:pPr>
              <w:numPr>
                <w:ilvl w:val="0"/>
                <w:numId w:val="32"/>
              </w:numPr>
              <w:rPr>
                <w:sz w:val="22"/>
                <w:szCs w:val="22"/>
              </w:rPr>
            </w:pPr>
            <w:r w:rsidRPr="00EC4C3D">
              <w:rPr>
                <w:sz w:val="22"/>
                <w:szCs w:val="22"/>
              </w:rPr>
              <w:t>Determine whether the bank’s system of monitoring NRA and foreign individual accounts for suspicious activities, and for reporting of suspicious activities, is adequate based o</w:t>
            </w:r>
            <w:r w:rsidRPr="00EC4C3D">
              <w:rPr>
                <w:bCs/>
                <w:sz w:val="22"/>
                <w:szCs w:val="22"/>
              </w:rPr>
              <w:t xml:space="preserve">n </w:t>
            </w:r>
            <w:r w:rsidRPr="00EC4C3D">
              <w:rPr>
                <w:sz w:val="22"/>
                <w:szCs w:val="22"/>
              </w:rPr>
              <w:t>the complexity of the bank’s NRA and foreign individual relationships, the types of products used by NRAs and foreign individuals, the home countries of the NRAs, and the source of funds and wealth for NRAs and foreign individuals.</w:t>
            </w:r>
          </w:p>
        </w:tc>
        <w:tc>
          <w:tcPr>
            <w:tcW w:w="5508" w:type="dxa"/>
            <w:shd w:val="clear" w:color="auto" w:fill="auto"/>
          </w:tcPr>
          <w:p w14:paraId="70A95D23" w14:textId="77777777" w:rsidR="004241FF" w:rsidRPr="00EC4C3D" w:rsidRDefault="004241FF" w:rsidP="00FD77C2">
            <w:pPr>
              <w:rPr>
                <w:sz w:val="22"/>
                <w:szCs w:val="22"/>
              </w:rPr>
            </w:pPr>
          </w:p>
        </w:tc>
      </w:tr>
      <w:tr w:rsidR="004241FF" w:rsidRPr="00EC4C3D" w14:paraId="49FCE024" w14:textId="77777777" w:rsidTr="00FD77C2">
        <w:tc>
          <w:tcPr>
            <w:tcW w:w="5508" w:type="dxa"/>
            <w:shd w:val="clear" w:color="auto" w:fill="auto"/>
          </w:tcPr>
          <w:p w14:paraId="03D64018" w14:textId="77777777" w:rsidR="004241FF" w:rsidRPr="00EC4C3D" w:rsidRDefault="004241FF" w:rsidP="004241FF">
            <w:pPr>
              <w:numPr>
                <w:ilvl w:val="0"/>
                <w:numId w:val="32"/>
              </w:numPr>
              <w:rPr>
                <w:sz w:val="22"/>
                <w:szCs w:val="22"/>
              </w:rPr>
            </w:pPr>
            <w:r w:rsidRPr="00EC4C3D">
              <w:rPr>
                <w:sz w:val="22"/>
                <w:szCs w:val="22"/>
              </w:rPr>
              <w:t>If appropriate, for additional guidance refer to the core examination procedures, “Office of Foreign Assets Control</w:t>
            </w:r>
            <w:r w:rsidRPr="0083391B">
              <w:rPr>
                <w:sz w:val="22"/>
                <w:szCs w:val="22"/>
              </w:rPr>
              <w:t>”</w:t>
            </w:r>
            <w:r w:rsidRPr="00EC4C3D">
              <w:rPr>
                <w:sz w:val="22"/>
                <w:szCs w:val="22"/>
              </w:rPr>
              <w:t>.</w:t>
            </w:r>
          </w:p>
        </w:tc>
        <w:tc>
          <w:tcPr>
            <w:tcW w:w="5508" w:type="dxa"/>
            <w:shd w:val="clear" w:color="auto" w:fill="auto"/>
          </w:tcPr>
          <w:p w14:paraId="4D65806E" w14:textId="77777777" w:rsidR="004241FF" w:rsidRPr="00EC4C3D" w:rsidRDefault="004241FF" w:rsidP="00FD77C2">
            <w:pPr>
              <w:rPr>
                <w:sz w:val="22"/>
                <w:szCs w:val="22"/>
              </w:rPr>
            </w:pPr>
          </w:p>
        </w:tc>
      </w:tr>
      <w:tr w:rsidR="004241FF" w:rsidRPr="00EC4C3D" w14:paraId="0E18D8BF" w14:textId="77777777" w:rsidTr="00FD77C2">
        <w:tc>
          <w:tcPr>
            <w:tcW w:w="11016" w:type="dxa"/>
            <w:gridSpan w:val="2"/>
            <w:shd w:val="clear" w:color="auto" w:fill="auto"/>
          </w:tcPr>
          <w:p w14:paraId="052F994D" w14:textId="77777777" w:rsidR="004241FF" w:rsidRPr="00EC4C3D" w:rsidRDefault="004241FF" w:rsidP="00FD77C2">
            <w:pPr>
              <w:rPr>
                <w:b/>
                <w:sz w:val="28"/>
                <w:szCs w:val="28"/>
              </w:rPr>
            </w:pPr>
            <w:r w:rsidRPr="00EC4C3D">
              <w:rPr>
                <w:b/>
                <w:sz w:val="28"/>
                <w:szCs w:val="28"/>
              </w:rPr>
              <w:t>Transaction Testing</w:t>
            </w:r>
          </w:p>
        </w:tc>
      </w:tr>
      <w:tr w:rsidR="004241FF" w:rsidRPr="00EC4C3D" w14:paraId="5ED61545" w14:textId="77777777" w:rsidTr="00FD77C2">
        <w:tc>
          <w:tcPr>
            <w:tcW w:w="5508" w:type="dxa"/>
            <w:shd w:val="clear" w:color="auto" w:fill="auto"/>
          </w:tcPr>
          <w:p w14:paraId="6A3FCC95" w14:textId="77777777" w:rsidR="004241FF" w:rsidRPr="00EC4C3D" w:rsidRDefault="004241FF" w:rsidP="004241FF">
            <w:pPr>
              <w:pStyle w:val="NumberedBSA-AMLList"/>
              <w:numPr>
                <w:ilvl w:val="0"/>
                <w:numId w:val="32"/>
              </w:numPr>
              <w:spacing w:after="0"/>
              <w:rPr>
                <w:sz w:val="22"/>
                <w:szCs w:val="22"/>
              </w:rPr>
            </w:pPr>
            <w:r w:rsidRPr="00EC4C3D">
              <w:rPr>
                <w:bCs/>
                <w:sz w:val="22"/>
                <w:szCs w:val="22"/>
              </w:rPr>
              <w:t xml:space="preserve">On the basis of the bank’s risk assessment of its </w:t>
            </w:r>
            <w:r w:rsidRPr="00EC4C3D">
              <w:rPr>
                <w:sz w:val="22"/>
                <w:szCs w:val="22"/>
              </w:rPr>
              <w:t>NRA and foreign individual accounts, as well as</w:t>
            </w:r>
            <w:r w:rsidRPr="00EC4C3D">
              <w:rPr>
                <w:bCs/>
                <w:sz w:val="22"/>
                <w:szCs w:val="22"/>
              </w:rPr>
              <w:t xml:space="preserve"> prior examination and audit reports, select a sample of </w:t>
            </w:r>
            <w:r w:rsidRPr="00EC4C3D">
              <w:rPr>
                <w:sz w:val="22"/>
                <w:szCs w:val="22"/>
              </w:rPr>
              <w:t>high</w:t>
            </w:r>
            <w:r>
              <w:rPr>
                <w:sz w:val="22"/>
                <w:szCs w:val="22"/>
              </w:rPr>
              <w:t>er</w:t>
            </w:r>
            <w:r w:rsidRPr="00EC4C3D">
              <w:rPr>
                <w:sz w:val="22"/>
                <w:szCs w:val="22"/>
              </w:rPr>
              <w:t>-risk NRA accounts.  Include the following risk factors:</w:t>
            </w:r>
          </w:p>
          <w:p w14:paraId="2C986EFC" w14:textId="77777777" w:rsidR="004241FF" w:rsidRPr="00EC4C3D" w:rsidRDefault="004241FF" w:rsidP="004241FF">
            <w:pPr>
              <w:pStyle w:val="Bulletlist2ndlevel-BSA-AML"/>
              <w:numPr>
                <w:ilvl w:val="0"/>
                <w:numId w:val="33"/>
              </w:numPr>
              <w:tabs>
                <w:tab w:val="left" w:pos="360"/>
              </w:tabs>
              <w:spacing w:after="0"/>
              <w:rPr>
                <w:sz w:val="22"/>
                <w:szCs w:val="22"/>
              </w:rPr>
            </w:pPr>
            <w:r>
              <w:rPr>
                <w:sz w:val="22"/>
                <w:szCs w:val="22"/>
              </w:rPr>
              <w:t>A</w:t>
            </w:r>
            <w:r w:rsidRPr="00EC4C3D">
              <w:rPr>
                <w:sz w:val="22"/>
                <w:szCs w:val="22"/>
              </w:rPr>
              <w:t>ccount for resident or citizen of a high</w:t>
            </w:r>
            <w:r>
              <w:rPr>
                <w:sz w:val="22"/>
                <w:szCs w:val="22"/>
              </w:rPr>
              <w:t>er</w:t>
            </w:r>
            <w:r w:rsidRPr="00EC4C3D">
              <w:rPr>
                <w:sz w:val="22"/>
                <w:szCs w:val="22"/>
              </w:rPr>
              <w:t>-risk jurisdiction.</w:t>
            </w:r>
          </w:p>
          <w:p w14:paraId="6EE680E0" w14:textId="77777777" w:rsidR="004241FF" w:rsidRPr="00EC4C3D" w:rsidRDefault="004241FF" w:rsidP="004241FF">
            <w:pPr>
              <w:pStyle w:val="Bulletlist2ndlevel-BSA-AML"/>
              <w:numPr>
                <w:ilvl w:val="0"/>
                <w:numId w:val="33"/>
              </w:numPr>
              <w:tabs>
                <w:tab w:val="left" w:pos="360"/>
              </w:tabs>
              <w:spacing w:after="0"/>
              <w:rPr>
                <w:sz w:val="22"/>
                <w:szCs w:val="22"/>
              </w:rPr>
            </w:pPr>
            <w:r w:rsidRPr="00EC4C3D">
              <w:rPr>
                <w:sz w:val="22"/>
                <w:szCs w:val="22"/>
              </w:rPr>
              <w:t>Account activity is substantially currency based.</w:t>
            </w:r>
          </w:p>
          <w:p w14:paraId="1BEB0E95" w14:textId="77777777" w:rsidR="004241FF" w:rsidRPr="00EC4C3D" w:rsidRDefault="004241FF" w:rsidP="004241FF">
            <w:pPr>
              <w:pStyle w:val="Bulletlist2ndlevel-BSA-AML"/>
              <w:numPr>
                <w:ilvl w:val="0"/>
                <w:numId w:val="33"/>
              </w:numPr>
              <w:tabs>
                <w:tab w:val="left" w:pos="360"/>
              </w:tabs>
              <w:spacing w:after="0"/>
              <w:rPr>
                <w:sz w:val="22"/>
                <w:szCs w:val="22"/>
              </w:rPr>
            </w:pPr>
            <w:r w:rsidRPr="00EC4C3D">
              <w:rPr>
                <w:sz w:val="22"/>
                <w:szCs w:val="22"/>
              </w:rPr>
              <w:t>NRA or foreign individual who uses a wide range of bank services, particularly correspondent services.</w:t>
            </w:r>
          </w:p>
          <w:p w14:paraId="239B31B0" w14:textId="77777777" w:rsidR="004241FF" w:rsidRPr="00EC4C3D" w:rsidRDefault="004241FF" w:rsidP="004241FF">
            <w:pPr>
              <w:numPr>
                <w:ilvl w:val="0"/>
                <w:numId w:val="33"/>
              </w:numPr>
              <w:rPr>
                <w:sz w:val="22"/>
                <w:szCs w:val="22"/>
              </w:rPr>
            </w:pPr>
            <w:r w:rsidRPr="00EC4C3D">
              <w:rPr>
                <w:sz w:val="22"/>
                <w:szCs w:val="22"/>
              </w:rPr>
              <w:t>NRA or foreign individual for whom the bank has filed a SAR.</w:t>
            </w:r>
          </w:p>
        </w:tc>
        <w:tc>
          <w:tcPr>
            <w:tcW w:w="5508" w:type="dxa"/>
            <w:shd w:val="clear" w:color="auto" w:fill="auto"/>
          </w:tcPr>
          <w:p w14:paraId="13CDF253" w14:textId="77777777" w:rsidR="004241FF" w:rsidRPr="00EC4C3D" w:rsidRDefault="004241FF" w:rsidP="00FD77C2">
            <w:pPr>
              <w:rPr>
                <w:sz w:val="22"/>
                <w:szCs w:val="22"/>
              </w:rPr>
            </w:pPr>
          </w:p>
        </w:tc>
      </w:tr>
      <w:tr w:rsidR="004241FF" w:rsidRPr="00EC4C3D" w14:paraId="44B6D3CD" w14:textId="77777777" w:rsidTr="00FD77C2">
        <w:tc>
          <w:tcPr>
            <w:tcW w:w="5508" w:type="dxa"/>
            <w:shd w:val="clear" w:color="auto" w:fill="auto"/>
          </w:tcPr>
          <w:p w14:paraId="55FADDF8" w14:textId="77777777" w:rsidR="004241FF" w:rsidRPr="00EC4C3D" w:rsidRDefault="004241FF" w:rsidP="004241FF">
            <w:pPr>
              <w:pStyle w:val="NumberedBSA-AMLList"/>
              <w:numPr>
                <w:ilvl w:val="0"/>
                <w:numId w:val="32"/>
              </w:numPr>
              <w:spacing w:after="0"/>
              <w:rPr>
                <w:sz w:val="22"/>
                <w:szCs w:val="22"/>
              </w:rPr>
            </w:pPr>
            <w:r w:rsidRPr="00EC4C3D">
              <w:rPr>
                <w:sz w:val="22"/>
                <w:szCs w:val="22"/>
              </w:rPr>
              <w:t xml:space="preserve">From the sample selected, perform the following </w:t>
            </w:r>
            <w:r w:rsidRPr="00EC4C3D">
              <w:rPr>
                <w:bCs/>
                <w:sz w:val="22"/>
                <w:szCs w:val="22"/>
              </w:rPr>
              <w:t xml:space="preserve">examination </w:t>
            </w:r>
            <w:r w:rsidRPr="00EC4C3D">
              <w:rPr>
                <w:sz w:val="22"/>
                <w:szCs w:val="22"/>
              </w:rPr>
              <w:t>procedures:</w:t>
            </w:r>
          </w:p>
          <w:p w14:paraId="14224E22" w14:textId="77777777" w:rsidR="004241FF" w:rsidRPr="00EC4C3D" w:rsidRDefault="004241FF" w:rsidP="004241FF">
            <w:pPr>
              <w:pStyle w:val="Bulletlist2ndlevel-BSA-AML"/>
              <w:numPr>
                <w:ilvl w:val="0"/>
                <w:numId w:val="34"/>
              </w:numPr>
              <w:tabs>
                <w:tab w:val="left" w:pos="360"/>
              </w:tabs>
              <w:spacing w:after="0"/>
              <w:rPr>
                <w:sz w:val="22"/>
                <w:szCs w:val="22"/>
              </w:rPr>
            </w:pPr>
            <w:r w:rsidRPr="00EC4C3D">
              <w:rPr>
                <w:sz w:val="22"/>
                <w:szCs w:val="22"/>
              </w:rPr>
              <w:t xml:space="preserve">Review the customer due diligence information, including </w:t>
            </w:r>
            <w:r>
              <w:rPr>
                <w:sz w:val="22"/>
                <w:szCs w:val="22"/>
              </w:rPr>
              <w:t xml:space="preserve">CIP </w:t>
            </w:r>
            <w:r w:rsidRPr="00EC4C3D">
              <w:rPr>
                <w:sz w:val="22"/>
                <w:szCs w:val="22"/>
              </w:rPr>
              <w:t>information, if applicable.</w:t>
            </w:r>
          </w:p>
          <w:p w14:paraId="031C3C6E" w14:textId="77777777" w:rsidR="004241FF" w:rsidRPr="00EC4C3D" w:rsidRDefault="004241FF" w:rsidP="004241FF">
            <w:pPr>
              <w:pStyle w:val="Bulletlist2ndlevel-BSA-AML"/>
              <w:numPr>
                <w:ilvl w:val="0"/>
                <w:numId w:val="34"/>
              </w:numPr>
              <w:tabs>
                <w:tab w:val="left" w:pos="360"/>
              </w:tabs>
              <w:spacing w:after="0"/>
              <w:rPr>
                <w:sz w:val="22"/>
                <w:szCs w:val="22"/>
              </w:rPr>
            </w:pPr>
            <w:r w:rsidRPr="00EC4C3D">
              <w:rPr>
                <w:sz w:val="22"/>
                <w:szCs w:val="22"/>
              </w:rPr>
              <w:lastRenderedPageBreak/>
              <w:t>Review account statements and, as necessary, transaction details to determine whether actual account activity is consistent with expected activity.  Assess whether transactions appear unusual or suspicious.</w:t>
            </w:r>
          </w:p>
          <w:p w14:paraId="6D4705C6" w14:textId="77777777" w:rsidR="004241FF" w:rsidRPr="00EC4C3D" w:rsidRDefault="004241FF" w:rsidP="004241FF">
            <w:pPr>
              <w:numPr>
                <w:ilvl w:val="0"/>
                <w:numId w:val="34"/>
              </w:numPr>
              <w:rPr>
                <w:sz w:val="22"/>
                <w:szCs w:val="22"/>
              </w:rPr>
            </w:pPr>
            <w:r w:rsidRPr="00EC4C3D">
              <w:rPr>
                <w:sz w:val="22"/>
                <w:szCs w:val="22"/>
              </w:rPr>
              <w:t>For W-8 accounts, verify that appropriate forms have been completed and updated, as necessary.  Review transaction activity and identify patterns that indicate U.S. resident status or indicate other unusual and suspicious activity.</w:t>
            </w:r>
          </w:p>
        </w:tc>
        <w:tc>
          <w:tcPr>
            <w:tcW w:w="5508" w:type="dxa"/>
            <w:shd w:val="clear" w:color="auto" w:fill="auto"/>
          </w:tcPr>
          <w:p w14:paraId="58B57783" w14:textId="77777777" w:rsidR="004241FF" w:rsidRPr="00EC4C3D" w:rsidRDefault="004241FF" w:rsidP="00FD77C2">
            <w:pPr>
              <w:rPr>
                <w:sz w:val="22"/>
                <w:szCs w:val="22"/>
              </w:rPr>
            </w:pPr>
          </w:p>
        </w:tc>
      </w:tr>
      <w:tr w:rsidR="004241FF" w:rsidRPr="00EC4C3D" w14:paraId="7DC98B3B" w14:textId="77777777" w:rsidTr="00FD77C2">
        <w:tc>
          <w:tcPr>
            <w:tcW w:w="5508" w:type="dxa"/>
            <w:shd w:val="clear" w:color="auto" w:fill="auto"/>
          </w:tcPr>
          <w:p w14:paraId="34E838F0" w14:textId="77777777" w:rsidR="004241FF" w:rsidRPr="00EC4C3D" w:rsidRDefault="004241FF" w:rsidP="004241FF">
            <w:pPr>
              <w:numPr>
                <w:ilvl w:val="0"/>
                <w:numId w:val="32"/>
              </w:numPr>
              <w:rPr>
                <w:sz w:val="22"/>
                <w:szCs w:val="22"/>
              </w:rPr>
            </w:pPr>
            <w:r w:rsidRPr="00EC4C3D">
              <w:rPr>
                <w:bCs/>
                <w:sz w:val="22"/>
                <w:szCs w:val="22"/>
              </w:rPr>
              <w:t>On the basis of</w:t>
            </w:r>
            <w:r w:rsidRPr="00EC4C3D">
              <w:rPr>
                <w:sz w:val="22"/>
                <w:szCs w:val="22"/>
              </w:rPr>
              <w:t xml:space="preserve"> </w:t>
            </w:r>
            <w:r w:rsidRPr="00EC4C3D">
              <w:rPr>
                <w:bCs/>
                <w:sz w:val="22"/>
                <w:szCs w:val="22"/>
              </w:rPr>
              <w:t xml:space="preserve">examination </w:t>
            </w:r>
            <w:r w:rsidRPr="00EC4C3D">
              <w:rPr>
                <w:sz w:val="22"/>
                <w:szCs w:val="22"/>
              </w:rPr>
              <w:t>procedures completed, including transaction testing, form a conclusion about the adequacy of policies, procedures, and processes associated with NRA accounts.</w:t>
            </w:r>
          </w:p>
        </w:tc>
        <w:tc>
          <w:tcPr>
            <w:tcW w:w="5508" w:type="dxa"/>
            <w:shd w:val="clear" w:color="auto" w:fill="auto"/>
          </w:tcPr>
          <w:p w14:paraId="4BDD2461" w14:textId="77777777" w:rsidR="004241FF" w:rsidRPr="00EC4C3D" w:rsidRDefault="004241FF" w:rsidP="00FD77C2">
            <w:pPr>
              <w:rPr>
                <w:sz w:val="22"/>
                <w:szCs w:val="22"/>
              </w:rPr>
            </w:pPr>
          </w:p>
        </w:tc>
      </w:tr>
    </w:tbl>
    <w:p w14:paraId="44A841C8" w14:textId="77777777" w:rsidR="00666FEA" w:rsidRPr="004241FF" w:rsidRDefault="00666FEA" w:rsidP="004241FF">
      <w:bookmarkStart w:id="1" w:name="_GoBack"/>
      <w:bookmarkEnd w:id="1"/>
    </w:p>
    <w:sectPr w:rsidR="00666FEA" w:rsidRPr="004241FF"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4241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4241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4241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4241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551B0"/>
    <w:multiLevelType w:val="hybridMultilevel"/>
    <w:tmpl w:val="0A52585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0319C"/>
    <w:multiLevelType w:val="hybridMultilevel"/>
    <w:tmpl w:val="771A83D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82AF2"/>
    <w:multiLevelType w:val="hybridMultilevel"/>
    <w:tmpl w:val="98382C1C"/>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1978E5"/>
    <w:multiLevelType w:val="hybridMultilevel"/>
    <w:tmpl w:val="147C17E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86ED2"/>
    <w:multiLevelType w:val="hybridMultilevel"/>
    <w:tmpl w:val="D018E78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D71251"/>
    <w:multiLevelType w:val="hybridMultilevel"/>
    <w:tmpl w:val="F302458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3374478"/>
    <w:multiLevelType w:val="hybridMultilevel"/>
    <w:tmpl w:val="CC903034"/>
    <w:lvl w:ilvl="0" w:tplc="A1389002">
      <w:start w:val="1"/>
      <w:numFmt w:val="bullet"/>
      <w:lvlText w:val=""/>
      <w:lvlJc w:val="left"/>
      <w:pPr>
        <w:tabs>
          <w:tab w:val="num" w:pos="720"/>
        </w:tabs>
        <w:ind w:left="720" w:hanging="360"/>
      </w:pPr>
      <w:rPr>
        <w:rFonts w:ascii="Symbol" w:hAnsi="Symbol"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72B5C73"/>
    <w:multiLevelType w:val="hybridMultilevel"/>
    <w:tmpl w:val="FEFCD61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646F54"/>
    <w:multiLevelType w:val="hybridMultilevel"/>
    <w:tmpl w:val="9B2C4B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3"/>
  </w:num>
  <w:num w:numId="3">
    <w:abstractNumId w:val="29"/>
  </w:num>
  <w:num w:numId="4">
    <w:abstractNumId w:val="17"/>
  </w:num>
  <w:num w:numId="5">
    <w:abstractNumId w:val="6"/>
  </w:num>
  <w:num w:numId="6">
    <w:abstractNumId w:val="24"/>
  </w:num>
  <w:num w:numId="7">
    <w:abstractNumId w:val="7"/>
  </w:num>
  <w:num w:numId="8">
    <w:abstractNumId w:val="5"/>
  </w:num>
  <w:num w:numId="9">
    <w:abstractNumId w:val="33"/>
  </w:num>
  <w:num w:numId="10">
    <w:abstractNumId w:val="0"/>
  </w:num>
  <w:num w:numId="11">
    <w:abstractNumId w:val="9"/>
  </w:num>
  <w:num w:numId="12">
    <w:abstractNumId w:val="10"/>
  </w:num>
  <w:num w:numId="13">
    <w:abstractNumId w:val="4"/>
  </w:num>
  <w:num w:numId="14">
    <w:abstractNumId w:val="8"/>
  </w:num>
  <w:num w:numId="15">
    <w:abstractNumId w:val="25"/>
  </w:num>
  <w:num w:numId="16">
    <w:abstractNumId w:val="31"/>
  </w:num>
  <w:num w:numId="17">
    <w:abstractNumId w:val="28"/>
  </w:num>
  <w:num w:numId="18">
    <w:abstractNumId w:val="14"/>
  </w:num>
  <w:num w:numId="19">
    <w:abstractNumId w:val="12"/>
  </w:num>
  <w:num w:numId="20">
    <w:abstractNumId w:val="23"/>
  </w:num>
  <w:num w:numId="21">
    <w:abstractNumId w:val="21"/>
  </w:num>
  <w:num w:numId="22">
    <w:abstractNumId w:val="32"/>
  </w:num>
  <w:num w:numId="23">
    <w:abstractNumId w:val="22"/>
  </w:num>
  <w:num w:numId="24">
    <w:abstractNumId w:val="30"/>
  </w:num>
  <w:num w:numId="25">
    <w:abstractNumId w:val="2"/>
  </w:num>
  <w:num w:numId="26">
    <w:abstractNumId w:val="18"/>
  </w:num>
  <w:num w:numId="27">
    <w:abstractNumId w:val="15"/>
  </w:num>
  <w:num w:numId="28">
    <w:abstractNumId w:val="26"/>
  </w:num>
  <w:num w:numId="29">
    <w:abstractNumId w:val="27"/>
  </w:num>
  <w:num w:numId="30">
    <w:abstractNumId w:val="1"/>
  </w:num>
  <w:num w:numId="31">
    <w:abstractNumId w:val="19"/>
  </w:num>
  <w:num w:numId="32">
    <w:abstractNumId w:val="16"/>
  </w:num>
  <w:num w:numId="33">
    <w:abstractNumId w:val="11"/>
  </w:num>
  <w:num w:numId="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77484"/>
    <w:rsid w:val="000B6182"/>
    <w:rsid w:val="00131D24"/>
    <w:rsid w:val="00131ED5"/>
    <w:rsid w:val="00153D87"/>
    <w:rsid w:val="001C597F"/>
    <w:rsid w:val="00214C57"/>
    <w:rsid w:val="002456DC"/>
    <w:rsid w:val="002A317A"/>
    <w:rsid w:val="002C7896"/>
    <w:rsid w:val="003017B2"/>
    <w:rsid w:val="00381955"/>
    <w:rsid w:val="003C78D0"/>
    <w:rsid w:val="004076B6"/>
    <w:rsid w:val="004241FF"/>
    <w:rsid w:val="00437489"/>
    <w:rsid w:val="0049515A"/>
    <w:rsid w:val="004B1A48"/>
    <w:rsid w:val="0052031B"/>
    <w:rsid w:val="0053220B"/>
    <w:rsid w:val="00545344"/>
    <w:rsid w:val="00551E98"/>
    <w:rsid w:val="0055792B"/>
    <w:rsid w:val="0059687F"/>
    <w:rsid w:val="005A483D"/>
    <w:rsid w:val="005C0EA2"/>
    <w:rsid w:val="005F5D49"/>
    <w:rsid w:val="00644539"/>
    <w:rsid w:val="0066634D"/>
    <w:rsid w:val="00666FEA"/>
    <w:rsid w:val="00667D9C"/>
    <w:rsid w:val="00693331"/>
    <w:rsid w:val="006938EE"/>
    <w:rsid w:val="00695FE5"/>
    <w:rsid w:val="00711436"/>
    <w:rsid w:val="0074091F"/>
    <w:rsid w:val="007C1396"/>
    <w:rsid w:val="007D2166"/>
    <w:rsid w:val="008218DF"/>
    <w:rsid w:val="0082386F"/>
    <w:rsid w:val="00827065"/>
    <w:rsid w:val="00833BB0"/>
    <w:rsid w:val="00853CA3"/>
    <w:rsid w:val="008C1A62"/>
    <w:rsid w:val="008D1B70"/>
    <w:rsid w:val="0092155F"/>
    <w:rsid w:val="00942A1C"/>
    <w:rsid w:val="009A7808"/>
    <w:rsid w:val="009E57B6"/>
    <w:rsid w:val="00A13081"/>
    <w:rsid w:val="00A33330"/>
    <w:rsid w:val="00A37C93"/>
    <w:rsid w:val="00A65C35"/>
    <w:rsid w:val="00A9534A"/>
    <w:rsid w:val="00AB7A7D"/>
    <w:rsid w:val="00AC3068"/>
    <w:rsid w:val="00B0373F"/>
    <w:rsid w:val="00B57732"/>
    <w:rsid w:val="00B73521"/>
    <w:rsid w:val="00BD1029"/>
    <w:rsid w:val="00BD16CB"/>
    <w:rsid w:val="00C31FD1"/>
    <w:rsid w:val="00C40DD6"/>
    <w:rsid w:val="00C71445"/>
    <w:rsid w:val="00C73169"/>
    <w:rsid w:val="00C7598C"/>
    <w:rsid w:val="00CC10D0"/>
    <w:rsid w:val="00CE1F59"/>
    <w:rsid w:val="00CF0853"/>
    <w:rsid w:val="00CF7AF0"/>
    <w:rsid w:val="00D77CBB"/>
    <w:rsid w:val="00D8007E"/>
    <w:rsid w:val="00D95CB7"/>
    <w:rsid w:val="00DA7E7B"/>
    <w:rsid w:val="00DB59F9"/>
    <w:rsid w:val="00EC37F2"/>
    <w:rsid w:val="00F338D1"/>
    <w:rsid w:val="00F410AB"/>
    <w:rsid w:val="00F8060D"/>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04E0-8F69-5D45-A98D-090023C3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Application>Microsoft Office Word</Application>
  <DocSecurity>0</DocSecurity>
  <Lines>19</Lines>
  <Paragraphs>5</Paragraphs>
  <ScaleCrop>false</ScaleCrop>
  <Company>CPS</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2018-06-06T15:27:00Z</dcterms:created>
  <dcterms:modified xsi:type="dcterms:W3CDTF">2018-06-06T15:27:00Z</dcterms:modified>
</cp:coreProperties>
</file>