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5ACA" w14:textId="77777777" w:rsidR="00703B5F" w:rsidRPr="0086047B" w:rsidRDefault="00703B5F" w:rsidP="00703B5F">
      <w:pPr>
        <w:pStyle w:val="Head3-BSA-AML"/>
        <w:rPr>
          <w:sz w:val="36"/>
          <w:szCs w:val="36"/>
        </w:rPr>
      </w:pPr>
      <w:bookmarkStart w:id="0" w:name="_Toc135558631"/>
      <w:r w:rsidRPr="0086047B">
        <w:rPr>
          <w:sz w:val="36"/>
          <w:szCs w:val="36"/>
        </w:rPr>
        <w:t>Examination Procedures</w:t>
      </w:r>
    </w:p>
    <w:p w14:paraId="6C30D56A" w14:textId="77777777" w:rsidR="00703B5F" w:rsidRDefault="00703B5F" w:rsidP="00703B5F">
      <w:pPr>
        <w:pStyle w:val="Head4-BSA-AML"/>
        <w:jc w:val="center"/>
      </w:pPr>
      <w:r>
        <w:t>Nonbank Financial Institutions</w:t>
      </w:r>
      <w:bookmarkEnd w:id="0"/>
    </w:p>
    <w:p w14:paraId="28784223" w14:textId="77777777" w:rsidR="00703B5F" w:rsidRPr="000764F6" w:rsidRDefault="00703B5F" w:rsidP="00703B5F">
      <w:pPr>
        <w:rPr>
          <w:i/>
          <w:sz w:val="24"/>
          <w:szCs w:val="24"/>
        </w:rPr>
      </w:pPr>
      <w:r>
        <w:rPr>
          <w:rStyle w:val="Head7-BSA-AMLCharChar"/>
        </w:rPr>
        <w:t>Objective.</w:t>
      </w:r>
      <w:r>
        <w:t xml:space="preserve">  </w:t>
      </w:r>
      <w:r w:rsidRPr="000764F6">
        <w:rPr>
          <w:i/>
          <w:sz w:val="24"/>
          <w:szCs w:val="24"/>
        </w:rPr>
        <w:t>Assess the adequacy of the bank’s systems to manage the risks associated with accounts of non-ba</w:t>
      </w:r>
      <w:r>
        <w:rPr>
          <w:i/>
          <w:sz w:val="24"/>
          <w:szCs w:val="24"/>
        </w:rPr>
        <w:t>nk financial institutions (NBFI</w:t>
      </w:r>
      <w:r w:rsidRPr="000764F6">
        <w:rPr>
          <w:i/>
          <w:sz w:val="24"/>
          <w:szCs w:val="24"/>
        </w:rPr>
        <w:t>), and management’s ability to implement effective monitoring and reporting systems.</w:t>
      </w:r>
    </w:p>
    <w:p w14:paraId="288E11A8" w14:textId="77777777" w:rsidR="00703B5F" w:rsidRDefault="00703B5F" w:rsidP="00703B5F">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5384"/>
      </w:tblGrid>
      <w:tr w:rsidR="00703B5F" w:rsidRPr="00EC4C3D" w14:paraId="6AE8C603" w14:textId="77777777" w:rsidTr="00FD77C2">
        <w:trPr>
          <w:tblHeader/>
        </w:trPr>
        <w:tc>
          <w:tcPr>
            <w:tcW w:w="5508" w:type="dxa"/>
            <w:tcBorders>
              <w:bottom w:val="single" w:sz="4" w:space="0" w:color="auto"/>
            </w:tcBorders>
            <w:shd w:val="clear" w:color="auto" w:fill="E0E0E0"/>
          </w:tcPr>
          <w:p w14:paraId="6D4824CF" w14:textId="77777777" w:rsidR="00703B5F" w:rsidRPr="00EC4C3D" w:rsidRDefault="00703B5F"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03B8FDAF" w14:textId="77777777" w:rsidR="00703B5F" w:rsidRPr="00EC4C3D" w:rsidRDefault="00703B5F" w:rsidP="00FD77C2">
            <w:pPr>
              <w:rPr>
                <w:b/>
                <w:sz w:val="28"/>
                <w:szCs w:val="28"/>
              </w:rPr>
            </w:pPr>
            <w:r w:rsidRPr="00EC4C3D">
              <w:rPr>
                <w:b/>
                <w:sz w:val="28"/>
                <w:szCs w:val="28"/>
              </w:rPr>
              <w:t>Comments</w:t>
            </w:r>
          </w:p>
        </w:tc>
      </w:tr>
      <w:tr w:rsidR="00703B5F" w:rsidRPr="00EC4C3D" w14:paraId="1ADF868A" w14:textId="77777777" w:rsidTr="00FD77C2">
        <w:tc>
          <w:tcPr>
            <w:tcW w:w="5508" w:type="dxa"/>
            <w:shd w:val="clear" w:color="auto" w:fill="auto"/>
          </w:tcPr>
          <w:p w14:paraId="7F015E11" w14:textId="77777777" w:rsidR="00703B5F" w:rsidRPr="00EC4C3D" w:rsidRDefault="00703B5F" w:rsidP="00703B5F">
            <w:pPr>
              <w:numPr>
                <w:ilvl w:val="0"/>
                <w:numId w:val="40"/>
              </w:numPr>
              <w:rPr>
                <w:sz w:val="22"/>
                <w:szCs w:val="22"/>
              </w:rPr>
            </w:pPr>
            <w:r w:rsidRPr="00EC4C3D">
              <w:rPr>
                <w:sz w:val="22"/>
                <w:szCs w:val="22"/>
              </w:rPr>
              <w:t>Determine the extent of the bank’s relationships with NBFIs and, for banks with significant relationships with NBFIs, review the bank’s risk assessment of this activity.</w:t>
            </w:r>
          </w:p>
        </w:tc>
        <w:tc>
          <w:tcPr>
            <w:tcW w:w="5508" w:type="dxa"/>
            <w:shd w:val="clear" w:color="auto" w:fill="auto"/>
          </w:tcPr>
          <w:p w14:paraId="7282B17A" w14:textId="77777777" w:rsidR="00703B5F" w:rsidRPr="00EC4C3D" w:rsidRDefault="00703B5F" w:rsidP="00FD77C2">
            <w:pPr>
              <w:rPr>
                <w:sz w:val="22"/>
                <w:szCs w:val="22"/>
              </w:rPr>
            </w:pPr>
          </w:p>
        </w:tc>
      </w:tr>
      <w:tr w:rsidR="00703B5F" w:rsidRPr="00EC4C3D" w14:paraId="6975988D" w14:textId="77777777" w:rsidTr="00FD77C2">
        <w:tc>
          <w:tcPr>
            <w:tcW w:w="5508" w:type="dxa"/>
            <w:shd w:val="clear" w:color="auto" w:fill="auto"/>
          </w:tcPr>
          <w:p w14:paraId="0C39214C" w14:textId="77777777" w:rsidR="00703B5F" w:rsidRPr="00EC4C3D" w:rsidRDefault="00703B5F" w:rsidP="00703B5F">
            <w:pPr>
              <w:numPr>
                <w:ilvl w:val="0"/>
                <w:numId w:val="40"/>
              </w:numPr>
              <w:rPr>
                <w:sz w:val="22"/>
                <w:szCs w:val="22"/>
              </w:rPr>
            </w:pPr>
            <w:r w:rsidRPr="00EC4C3D">
              <w:rPr>
                <w:sz w:val="22"/>
                <w:szCs w:val="22"/>
              </w:rPr>
              <w:t>Review the policies, procedures, and processes related to NBFI accounts.  Evaluate the adequacy of the policies, procedures, and processes given the bank’s NBFI activities and the risks they represent.  Assess whether the controls are adequate to reasonably protect the bank from money laundering and terrorist financing.</w:t>
            </w:r>
          </w:p>
        </w:tc>
        <w:tc>
          <w:tcPr>
            <w:tcW w:w="5508" w:type="dxa"/>
            <w:shd w:val="clear" w:color="auto" w:fill="auto"/>
          </w:tcPr>
          <w:p w14:paraId="06BF06D4" w14:textId="77777777" w:rsidR="00703B5F" w:rsidRPr="00EC4C3D" w:rsidRDefault="00703B5F" w:rsidP="00FD77C2">
            <w:pPr>
              <w:rPr>
                <w:sz w:val="22"/>
                <w:szCs w:val="22"/>
              </w:rPr>
            </w:pPr>
          </w:p>
        </w:tc>
      </w:tr>
      <w:tr w:rsidR="00703B5F" w:rsidRPr="00EC4C3D" w14:paraId="0BF3A65A" w14:textId="77777777" w:rsidTr="00FD77C2">
        <w:tc>
          <w:tcPr>
            <w:tcW w:w="5508" w:type="dxa"/>
            <w:shd w:val="clear" w:color="auto" w:fill="auto"/>
          </w:tcPr>
          <w:p w14:paraId="5F6A5980" w14:textId="77777777" w:rsidR="00703B5F" w:rsidRPr="00EC4C3D" w:rsidRDefault="00703B5F" w:rsidP="00703B5F">
            <w:pPr>
              <w:numPr>
                <w:ilvl w:val="0"/>
                <w:numId w:val="40"/>
              </w:numPr>
              <w:rPr>
                <w:sz w:val="22"/>
                <w:szCs w:val="22"/>
              </w:rPr>
            </w:pPr>
            <w:r w:rsidRPr="00EC4C3D">
              <w:rPr>
                <w:sz w:val="22"/>
                <w:szCs w:val="22"/>
              </w:rPr>
              <w:t>From review of MIS and internal risk rating factors, determine whether the bank effectively identifies and monitors NBFI accounts.</w:t>
            </w:r>
          </w:p>
        </w:tc>
        <w:tc>
          <w:tcPr>
            <w:tcW w:w="5508" w:type="dxa"/>
            <w:shd w:val="clear" w:color="auto" w:fill="auto"/>
          </w:tcPr>
          <w:p w14:paraId="0DF85C25" w14:textId="77777777" w:rsidR="00703B5F" w:rsidRPr="00EC4C3D" w:rsidRDefault="00703B5F" w:rsidP="00FD77C2">
            <w:pPr>
              <w:rPr>
                <w:sz w:val="22"/>
                <w:szCs w:val="22"/>
              </w:rPr>
            </w:pPr>
          </w:p>
        </w:tc>
      </w:tr>
      <w:tr w:rsidR="00703B5F" w:rsidRPr="00EC4C3D" w14:paraId="09F90DD3" w14:textId="77777777" w:rsidTr="00FD77C2">
        <w:tc>
          <w:tcPr>
            <w:tcW w:w="5508" w:type="dxa"/>
            <w:tcBorders>
              <w:bottom w:val="single" w:sz="4" w:space="0" w:color="auto"/>
            </w:tcBorders>
            <w:shd w:val="clear" w:color="auto" w:fill="auto"/>
          </w:tcPr>
          <w:p w14:paraId="1D4172EF" w14:textId="77777777" w:rsidR="00703B5F" w:rsidRPr="00EC4C3D" w:rsidRDefault="00703B5F" w:rsidP="00703B5F">
            <w:pPr>
              <w:numPr>
                <w:ilvl w:val="0"/>
                <w:numId w:val="40"/>
              </w:numPr>
              <w:rPr>
                <w:sz w:val="22"/>
                <w:szCs w:val="22"/>
              </w:rPr>
            </w:pPr>
            <w:r w:rsidRPr="00EC4C3D">
              <w:rPr>
                <w:sz w:val="22"/>
                <w:szCs w:val="22"/>
              </w:rPr>
              <w:t>Determine whether the bank’s system for monitoring NBFI accounts for suspicious activities, and for reporting of suspicious activities, is adequate given the nature of the bank’s customer relationships.</w:t>
            </w:r>
          </w:p>
        </w:tc>
        <w:tc>
          <w:tcPr>
            <w:tcW w:w="5508" w:type="dxa"/>
            <w:tcBorders>
              <w:bottom w:val="single" w:sz="4" w:space="0" w:color="auto"/>
            </w:tcBorders>
            <w:shd w:val="clear" w:color="auto" w:fill="auto"/>
          </w:tcPr>
          <w:p w14:paraId="72E3030D" w14:textId="77777777" w:rsidR="00703B5F" w:rsidRPr="00EC4C3D" w:rsidRDefault="00703B5F" w:rsidP="00FD77C2">
            <w:pPr>
              <w:rPr>
                <w:sz w:val="22"/>
                <w:szCs w:val="22"/>
              </w:rPr>
            </w:pPr>
          </w:p>
        </w:tc>
      </w:tr>
      <w:tr w:rsidR="00703B5F" w:rsidRPr="00EC4C3D" w14:paraId="75D4B323" w14:textId="77777777" w:rsidTr="00FD77C2">
        <w:tc>
          <w:tcPr>
            <w:tcW w:w="11016" w:type="dxa"/>
            <w:gridSpan w:val="2"/>
            <w:shd w:val="clear" w:color="auto" w:fill="E0E0E0"/>
          </w:tcPr>
          <w:p w14:paraId="3294141F" w14:textId="77777777" w:rsidR="00703B5F" w:rsidRPr="00EC4C3D" w:rsidRDefault="00703B5F" w:rsidP="00FD77C2">
            <w:pPr>
              <w:rPr>
                <w:b/>
                <w:sz w:val="28"/>
                <w:szCs w:val="28"/>
              </w:rPr>
            </w:pPr>
            <w:r w:rsidRPr="00EC4C3D">
              <w:rPr>
                <w:b/>
                <w:sz w:val="28"/>
                <w:szCs w:val="28"/>
              </w:rPr>
              <w:t>Money Services Businesses</w:t>
            </w:r>
          </w:p>
        </w:tc>
      </w:tr>
      <w:tr w:rsidR="00703B5F" w:rsidRPr="00EC4C3D" w14:paraId="05B137E7" w14:textId="77777777" w:rsidTr="00FD77C2">
        <w:tc>
          <w:tcPr>
            <w:tcW w:w="5508" w:type="dxa"/>
            <w:shd w:val="clear" w:color="auto" w:fill="auto"/>
          </w:tcPr>
          <w:p w14:paraId="7BE949A9" w14:textId="77777777" w:rsidR="00703B5F" w:rsidRPr="00EC4C3D" w:rsidRDefault="00703B5F" w:rsidP="00703B5F">
            <w:pPr>
              <w:pStyle w:val="NumberedBSA-AMLList"/>
              <w:numPr>
                <w:ilvl w:val="0"/>
                <w:numId w:val="40"/>
              </w:numPr>
              <w:spacing w:after="0"/>
              <w:rPr>
                <w:sz w:val="22"/>
                <w:szCs w:val="22"/>
              </w:rPr>
            </w:pPr>
            <w:r w:rsidRPr="00EC4C3D">
              <w:rPr>
                <w:sz w:val="22"/>
                <w:szCs w:val="22"/>
              </w:rPr>
              <w:t>Consistent with the interagency guidance released on April 26, 2005, determine whether the bank has policies, procedures, and processes in place for accounts opened or maintained for money services businesses (MSB) to:</w:t>
            </w:r>
          </w:p>
          <w:p w14:paraId="3FBBD3A7" w14:textId="77777777" w:rsidR="00703B5F" w:rsidRDefault="00703B5F" w:rsidP="00703B5F">
            <w:pPr>
              <w:pStyle w:val="Bulletlist2ndlevel-BSA-AML"/>
              <w:numPr>
                <w:ilvl w:val="0"/>
                <w:numId w:val="41"/>
              </w:numPr>
              <w:tabs>
                <w:tab w:val="left" w:pos="360"/>
              </w:tabs>
              <w:spacing w:after="0"/>
              <w:rPr>
                <w:sz w:val="22"/>
                <w:szCs w:val="22"/>
              </w:rPr>
            </w:pPr>
            <w:r>
              <w:rPr>
                <w:sz w:val="22"/>
                <w:szCs w:val="22"/>
              </w:rPr>
              <w:t>Apply the bank’s CIP</w:t>
            </w:r>
            <w:r>
              <w:rPr>
                <w:rStyle w:val="FootnoteReference"/>
              </w:rPr>
              <w:footnoteReference w:id="1"/>
            </w:r>
          </w:p>
          <w:p w14:paraId="23B37FDE" w14:textId="77777777" w:rsidR="00703B5F" w:rsidRPr="00EC4C3D" w:rsidRDefault="00703B5F" w:rsidP="00703B5F">
            <w:pPr>
              <w:pStyle w:val="Bulletlist2ndlevel-BSA-AML"/>
              <w:numPr>
                <w:ilvl w:val="0"/>
                <w:numId w:val="41"/>
              </w:numPr>
              <w:tabs>
                <w:tab w:val="left" w:pos="360"/>
              </w:tabs>
              <w:spacing w:after="0"/>
              <w:rPr>
                <w:sz w:val="22"/>
                <w:szCs w:val="22"/>
              </w:rPr>
            </w:pPr>
            <w:r w:rsidRPr="00EC4C3D">
              <w:rPr>
                <w:sz w:val="22"/>
                <w:szCs w:val="22"/>
              </w:rPr>
              <w:t>Confirm FinCEN registration, if require</w:t>
            </w:r>
            <w:r>
              <w:rPr>
                <w:sz w:val="22"/>
                <w:szCs w:val="22"/>
              </w:rPr>
              <w:t>d. (</w:t>
            </w:r>
            <w:r w:rsidRPr="00EC4C3D">
              <w:rPr>
                <w:sz w:val="22"/>
                <w:szCs w:val="22"/>
              </w:rPr>
              <w:t>Note: registration must be renewed every two years.</w:t>
            </w:r>
            <w:r>
              <w:rPr>
                <w:sz w:val="22"/>
                <w:szCs w:val="22"/>
              </w:rPr>
              <w:t>)</w:t>
            </w:r>
          </w:p>
          <w:p w14:paraId="383D2517" w14:textId="77777777" w:rsidR="00703B5F" w:rsidRPr="00EC4C3D" w:rsidRDefault="00703B5F" w:rsidP="00703B5F">
            <w:pPr>
              <w:pStyle w:val="Bulletlist2ndlevel-BSA-AML"/>
              <w:numPr>
                <w:ilvl w:val="0"/>
                <w:numId w:val="41"/>
              </w:numPr>
              <w:tabs>
                <w:tab w:val="left" w:pos="360"/>
              </w:tabs>
              <w:spacing w:after="0"/>
              <w:rPr>
                <w:sz w:val="22"/>
                <w:szCs w:val="22"/>
              </w:rPr>
            </w:pPr>
            <w:r w:rsidRPr="00EC4C3D">
              <w:rPr>
                <w:sz w:val="22"/>
                <w:szCs w:val="22"/>
              </w:rPr>
              <w:t>Confirm state licensing, if applicable.</w:t>
            </w:r>
          </w:p>
          <w:p w14:paraId="1CC4BB19" w14:textId="77777777" w:rsidR="00703B5F" w:rsidRPr="00EC4C3D" w:rsidRDefault="00703B5F" w:rsidP="00703B5F">
            <w:pPr>
              <w:pStyle w:val="Bulletlist2ndlevel-BSA-AML"/>
              <w:numPr>
                <w:ilvl w:val="0"/>
                <w:numId w:val="41"/>
              </w:numPr>
              <w:tabs>
                <w:tab w:val="left" w:pos="360"/>
              </w:tabs>
              <w:spacing w:after="0"/>
              <w:rPr>
                <w:sz w:val="22"/>
                <w:szCs w:val="22"/>
              </w:rPr>
            </w:pPr>
            <w:r w:rsidRPr="00EC4C3D">
              <w:rPr>
                <w:sz w:val="22"/>
                <w:szCs w:val="22"/>
              </w:rPr>
              <w:t>Confirm agent status, if applicable.</w:t>
            </w:r>
          </w:p>
          <w:p w14:paraId="424A7C75" w14:textId="77777777" w:rsidR="00703B5F" w:rsidRPr="00EC4C3D" w:rsidRDefault="00703B5F" w:rsidP="00703B5F">
            <w:pPr>
              <w:numPr>
                <w:ilvl w:val="0"/>
                <w:numId w:val="41"/>
              </w:numPr>
              <w:rPr>
                <w:sz w:val="22"/>
                <w:szCs w:val="22"/>
              </w:rPr>
            </w:pPr>
            <w:r w:rsidRPr="00EC4C3D">
              <w:rPr>
                <w:sz w:val="22"/>
                <w:szCs w:val="22"/>
              </w:rPr>
              <w:t>Conduct a risk assessment to determine the level of risk associated with each account and whether further due diligence is required.</w:t>
            </w:r>
          </w:p>
        </w:tc>
        <w:tc>
          <w:tcPr>
            <w:tcW w:w="5508" w:type="dxa"/>
            <w:shd w:val="clear" w:color="auto" w:fill="auto"/>
          </w:tcPr>
          <w:p w14:paraId="3E956E32" w14:textId="77777777" w:rsidR="00703B5F" w:rsidRPr="00EC4C3D" w:rsidRDefault="00703B5F" w:rsidP="00FD77C2">
            <w:pPr>
              <w:rPr>
                <w:sz w:val="22"/>
                <w:szCs w:val="22"/>
              </w:rPr>
            </w:pPr>
          </w:p>
        </w:tc>
      </w:tr>
      <w:tr w:rsidR="00703B5F" w:rsidRPr="00EC4C3D" w14:paraId="01771DF5" w14:textId="77777777" w:rsidTr="00FD77C2">
        <w:tc>
          <w:tcPr>
            <w:tcW w:w="5508" w:type="dxa"/>
            <w:shd w:val="clear" w:color="auto" w:fill="auto"/>
          </w:tcPr>
          <w:p w14:paraId="7ABA542F" w14:textId="77777777" w:rsidR="00703B5F" w:rsidRPr="00EC4C3D" w:rsidRDefault="00703B5F" w:rsidP="00703B5F">
            <w:pPr>
              <w:numPr>
                <w:ilvl w:val="0"/>
                <w:numId w:val="40"/>
              </w:numPr>
              <w:rPr>
                <w:sz w:val="22"/>
                <w:szCs w:val="22"/>
              </w:rPr>
            </w:pPr>
            <w:r w:rsidRPr="00EC4C3D">
              <w:rPr>
                <w:sz w:val="22"/>
                <w:szCs w:val="22"/>
              </w:rPr>
              <w:t>Determine whether the bank’s policies, procedures, and processes to assess risks posed by MSB customers effectively identify higher risk accounts and the amount of further due diligence necessary.</w:t>
            </w:r>
          </w:p>
        </w:tc>
        <w:tc>
          <w:tcPr>
            <w:tcW w:w="5508" w:type="dxa"/>
            <w:shd w:val="clear" w:color="auto" w:fill="auto"/>
          </w:tcPr>
          <w:p w14:paraId="593C82EA" w14:textId="77777777" w:rsidR="00703B5F" w:rsidRPr="00EC4C3D" w:rsidRDefault="00703B5F" w:rsidP="00FD77C2">
            <w:pPr>
              <w:rPr>
                <w:sz w:val="22"/>
                <w:szCs w:val="22"/>
              </w:rPr>
            </w:pPr>
          </w:p>
        </w:tc>
      </w:tr>
      <w:tr w:rsidR="00703B5F" w:rsidRPr="00EC4C3D" w14:paraId="0C2DA251" w14:textId="77777777" w:rsidTr="00FD77C2">
        <w:tc>
          <w:tcPr>
            <w:tcW w:w="11016" w:type="dxa"/>
            <w:gridSpan w:val="2"/>
            <w:shd w:val="clear" w:color="auto" w:fill="auto"/>
          </w:tcPr>
          <w:p w14:paraId="51C4F667" w14:textId="77777777" w:rsidR="00703B5F" w:rsidRPr="00EC4C3D" w:rsidRDefault="00703B5F" w:rsidP="00FD77C2">
            <w:pPr>
              <w:rPr>
                <w:b/>
                <w:sz w:val="28"/>
                <w:szCs w:val="28"/>
              </w:rPr>
            </w:pPr>
            <w:r w:rsidRPr="00EC4C3D">
              <w:rPr>
                <w:b/>
                <w:sz w:val="28"/>
                <w:szCs w:val="28"/>
              </w:rPr>
              <w:t>Transaction Testing</w:t>
            </w:r>
          </w:p>
        </w:tc>
      </w:tr>
      <w:tr w:rsidR="00703B5F" w:rsidRPr="00EC4C3D" w14:paraId="7B3C7041" w14:textId="77777777" w:rsidTr="00FD77C2">
        <w:tc>
          <w:tcPr>
            <w:tcW w:w="5508" w:type="dxa"/>
            <w:shd w:val="clear" w:color="auto" w:fill="auto"/>
          </w:tcPr>
          <w:p w14:paraId="4DB8B4A6" w14:textId="77777777" w:rsidR="00703B5F" w:rsidRPr="00EC4C3D" w:rsidRDefault="00703B5F" w:rsidP="00703B5F">
            <w:pPr>
              <w:pStyle w:val="NumberedBSA-AMLList"/>
              <w:numPr>
                <w:ilvl w:val="0"/>
                <w:numId w:val="40"/>
              </w:numPr>
              <w:spacing w:after="0"/>
              <w:rPr>
                <w:sz w:val="22"/>
                <w:szCs w:val="22"/>
              </w:rPr>
            </w:pPr>
            <w:r w:rsidRPr="00EC4C3D">
              <w:rPr>
                <w:sz w:val="22"/>
                <w:szCs w:val="22"/>
              </w:rPr>
              <w:lastRenderedPageBreak/>
              <w:t>On a basis of the bank’s risk assessment of its NBFI accounts, as well as prior examination and audit reports, select a sample of high</w:t>
            </w:r>
            <w:r>
              <w:rPr>
                <w:sz w:val="22"/>
                <w:szCs w:val="22"/>
              </w:rPr>
              <w:t>er</w:t>
            </w:r>
            <w:r w:rsidRPr="00EC4C3D">
              <w:rPr>
                <w:sz w:val="22"/>
                <w:szCs w:val="22"/>
              </w:rPr>
              <w:t xml:space="preserve">-risk NBFI accounts.  From the sample selected, perform the following </w:t>
            </w:r>
            <w:r w:rsidRPr="00EC4C3D">
              <w:rPr>
                <w:bCs/>
                <w:sz w:val="22"/>
                <w:szCs w:val="22"/>
              </w:rPr>
              <w:t xml:space="preserve">examination </w:t>
            </w:r>
            <w:r w:rsidRPr="00EC4C3D">
              <w:rPr>
                <w:sz w:val="22"/>
                <w:szCs w:val="22"/>
              </w:rPr>
              <w:t>procedures:</w:t>
            </w:r>
          </w:p>
          <w:p w14:paraId="41F71920" w14:textId="77777777" w:rsidR="00703B5F" w:rsidRPr="00EC4C3D" w:rsidRDefault="00703B5F" w:rsidP="00703B5F">
            <w:pPr>
              <w:pStyle w:val="Bulletlist2ndlevel-BSA-AML"/>
              <w:numPr>
                <w:ilvl w:val="0"/>
                <w:numId w:val="42"/>
              </w:numPr>
              <w:tabs>
                <w:tab w:val="left" w:pos="360"/>
              </w:tabs>
              <w:spacing w:after="0"/>
              <w:rPr>
                <w:sz w:val="22"/>
                <w:szCs w:val="22"/>
              </w:rPr>
            </w:pPr>
            <w:r w:rsidRPr="00EC4C3D">
              <w:rPr>
                <w:sz w:val="22"/>
                <w:szCs w:val="22"/>
              </w:rPr>
              <w:t>Review account opening documentation and ongoing due diligence information.</w:t>
            </w:r>
          </w:p>
          <w:p w14:paraId="3F8BABC7" w14:textId="77777777" w:rsidR="00703B5F" w:rsidRPr="00EC4C3D" w:rsidRDefault="00703B5F" w:rsidP="00703B5F">
            <w:pPr>
              <w:pStyle w:val="Bulletlist2ndlevel-BSA-AML"/>
              <w:numPr>
                <w:ilvl w:val="0"/>
                <w:numId w:val="42"/>
              </w:numPr>
              <w:tabs>
                <w:tab w:val="left" w:pos="360"/>
              </w:tabs>
              <w:spacing w:after="0"/>
              <w:rPr>
                <w:sz w:val="22"/>
                <w:szCs w:val="22"/>
              </w:rPr>
            </w:pPr>
            <w:r w:rsidRPr="00EC4C3D">
              <w:rPr>
                <w:sz w:val="22"/>
                <w:szCs w:val="22"/>
              </w:rPr>
              <w:t>Review account statements and, as necessary, specific transaction details.  Compare expected transactions with actual activity.</w:t>
            </w:r>
          </w:p>
          <w:p w14:paraId="6C49D23F" w14:textId="77777777" w:rsidR="00703B5F" w:rsidRPr="00EC4C3D" w:rsidRDefault="00703B5F" w:rsidP="00703B5F">
            <w:pPr>
              <w:numPr>
                <w:ilvl w:val="0"/>
                <w:numId w:val="42"/>
              </w:numPr>
              <w:rPr>
                <w:sz w:val="22"/>
                <w:szCs w:val="22"/>
              </w:rPr>
            </w:pPr>
            <w:r w:rsidRPr="00EC4C3D">
              <w:rPr>
                <w:sz w:val="22"/>
                <w:szCs w:val="22"/>
              </w:rPr>
              <w:t>Determine whether actual activity is consistent with the nature of the customer’s business and identify any unusual or suspicious activity.</w:t>
            </w:r>
          </w:p>
        </w:tc>
        <w:tc>
          <w:tcPr>
            <w:tcW w:w="5508" w:type="dxa"/>
            <w:shd w:val="clear" w:color="auto" w:fill="auto"/>
          </w:tcPr>
          <w:p w14:paraId="6713BCBC" w14:textId="77777777" w:rsidR="00703B5F" w:rsidRPr="00EC4C3D" w:rsidRDefault="00703B5F" w:rsidP="00FD77C2">
            <w:pPr>
              <w:rPr>
                <w:sz w:val="22"/>
                <w:szCs w:val="22"/>
              </w:rPr>
            </w:pPr>
          </w:p>
        </w:tc>
      </w:tr>
      <w:tr w:rsidR="00703B5F" w:rsidRPr="00EC4C3D" w14:paraId="63351FCB" w14:textId="77777777" w:rsidTr="00FD77C2">
        <w:tc>
          <w:tcPr>
            <w:tcW w:w="5508" w:type="dxa"/>
            <w:shd w:val="clear" w:color="auto" w:fill="auto"/>
          </w:tcPr>
          <w:p w14:paraId="58AB6666" w14:textId="77777777" w:rsidR="00703B5F" w:rsidRPr="00EC4C3D" w:rsidRDefault="00703B5F" w:rsidP="00703B5F">
            <w:pPr>
              <w:numPr>
                <w:ilvl w:val="0"/>
                <w:numId w:val="40"/>
              </w:numPr>
              <w:rPr>
                <w:sz w:val="22"/>
                <w:szCs w:val="22"/>
              </w:rPr>
            </w:pPr>
            <w:r w:rsidRPr="00EC4C3D">
              <w:rPr>
                <w:sz w:val="22"/>
                <w:szCs w:val="22"/>
              </w:rPr>
              <w:t xml:space="preserve">On a basis of </w:t>
            </w:r>
            <w:r w:rsidRPr="00EC4C3D">
              <w:rPr>
                <w:bCs/>
                <w:sz w:val="22"/>
                <w:szCs w:val="22"/>
              </w:rPr>
              <w:t xml:space="preserve">examination </w:t>
            </w:r>
            <w:r w:rsidRPr="00EC4C3D">
              <w:rPr>
                <w:sz w:val="22"/>
                <w:szCs w:val="22"/>
              </w:rPr>
              <w:t>procedures completed, including transaction testing, form a conclusion about the adequacy of policies, procedures, and processes associated with NBFI relationships.</w:t>
            </w:r>
          </w:p>
        </w:tc>
        <w:tc>
          <w:tcPr>
            <w:tcW w:w="5508" w:type="dxa"/>
            <w:shd w:val="clear" w:color="auto" w:fill="auto"/>
          </w:tcPr>
          <w:p w14:paraId="42842967" w14:textId="77777777" w:rsidR="00703B5F" w:rsidRPr="00EC4C3D" w:rsidRDefault="00703B5F" w:rsidP="00FD77C2">
            <w:pPr>
              <w:rPr>
                <w:sz w:val="22"/>
                <w:szCs w:val="22"/>
              </w:rPr>
            </w:pPr>
          </w:p>
        </w:tc>
      </w:tr>
    </w:tbl>
    <w:p w14:paraId="44A841C8" w14:textId="77777777" w:rsidR="00666FEA" w:rsidRPr="00703B5F" w:rsidRDefault="00666FEA" w:rsidP="00703B5F">
      <w:bookmarkStart w:id="1" w:name="_GoBack"/>
      <w:bookmarkEnd w:id="1"/>
    </w:p>
    <w:sectPr w:rsidR="00666FEA" w:rsidRPr="00703B5F" w:rsidSect="00C73169">
      <w:headerReference w:type="even" r:id="rId8"/>
      <w:headerReference w:type="default" r:id="rId9"/>
      <w:footerReference w:type="even" r:id="rId10"/>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p w14:paraId="41EAB179" w14:textId="77777777" w:rsidR="00000000" w:rsidRDefault="00703B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44419A" w14:textId="77777777" w:rsidR="00000000" w:rsidRDefault="00703B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 w:id="1">
    <w:p w14:paraId="0811A49D" w14:textId="77777777" w:rsidR="00703B5F" w:rsidRDefault="00703B5F" w:rsidP="00703B5F">
      <w:pPr>
        <w:pStyle w:val="FootnoteText"/>
      </w:pPr>
      <w:r>
        <w:rPr>
          <w:rStyle w:val="FootnoteReference"/>
        </w:rPr>
        <w:footnoteRef/>
      </w:r>
      <w:r>
        <w:t xml:space="preserve"> </w:t>
      </w:r>
      <w:r w:rsidRPr="006C6731">
        <w:t xml:space="preserve">Refer to </w:t>
      </w:r>
      <w:r>
        <w:t>31 CFR 1020.100</w:t>
      </w:r>
      <w:r w:rsidRPr="006C6731">
        <w:t xml:space="preserve"> (FinCEN); 12 CFR 21.21(Office of the Comptroller of the Currency); 12 CFR 208.63(b), 211.5(m), 211.24(j) (Board of Governors of the Federal Reserve System); 12 CFR 326.8(b)(2) (Federal </w:t>
      </w:r>
      <w:r>
        <w:t>Deposit Insurance Corporation);</w:t>
      </w:r>
      <w:r w:rsidRPr="006C6731">
        <w:t xml:space="preserve"> 12 CFR 748.2(b) (National Credit Union 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p w14:paraId="480ABDD4" w14:textId="77777777" w:rsidR="00000000" w:rsidRDefault="00703B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2E4F8F4" w14:textId="77777777" w:rsidR="00000000" w:rsidRDefault="00703B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551B0"/>
    <w:multiLevelType w:val="hybridMultilevel"/>
    <w:tmpl w:val="0A52585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77676D"/>
    <w:multiLevelType w:val="hybridMultilevel"/>
    <w:tmpl w:val="3078BA4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0319C"/>
    <w:multiLevelType w:val="hybridMultilevel"/>
    <w:tmpl w:val="771A83D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B0A98"/>
    <w:multiLevelType w:val="hybridMultilevel"/>
    <w:tmpl w:val="DE5AA66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A805AF9"/>
    <w:multiLevelType w:val="hybridMultilevel"/>
    <w:tmpl w:val="31C82A5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C67EF3"/>
    <w:multiLevelType w:val="hybridMultilevel"/>
    <w:tmpl w:val="09A67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82AF2"/>
    <w:multiLevelType w:val="hybridMultilevel"/>
    <w:tmpl w:val="98382C1C"/>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9E1B69"/>
    <w:multiLevelType w:val="hybridMultilevel"/>
    <w:tmpl w:val="3E86FFE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63201"/>
    <w:multiLevelType w:val="hybridMultilevel"/>
    <w:tmpl w:val="4018629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1978E5"/>
    <w:multiLevelType w:val="hybridMultilevel"/>
    <w:tmpl w:val="147C17E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86ED2"/>
    <w:multiLevelType w:val="hybridMultilevel"/>
    <w:tmpl w:val="D018E78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AD71251"/>
    <w:multiLevelType w:val="hybridMultilevel"/>
    <w:tmpl w:val="F302458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3374478"/>
    <w:multiLevelType w:val="hybridMultilevel"/>
    <w:tmpl w:val="CC903034"/>
    <w:lvl w:ilvl="0" w:tplc="A1389002">
      <w:start w:val="1"/>
      <w:numFmt w:val="bullet"/>
      <w:lvlText w:val=""/>
      <w:lvlJc w:val="left"/>
      <w:pPr>
        <w:tabs>
          <w:tab w:val="num" w:pos="720"/>
        </w:tabs>
        <w:ind w:left="720" w:hanging="360"/>
      </w:pPr>
      <w:rPr>
        <w:rFonts w:ascii="Symbol" w:hAnsi="Symbol" w:hint="default"/>
        <w:color w:val="auto"/>
        <w:sz w:val="22"/>
        <w:szCs w:val="22"/>
      </w:rPr>
    </w:lvl>
    <w:lvl w:ilvl="1" w:tplc="0409000F">
      <w:start w:val="1"/>
      <w:numFmt w:val="decimal"/>
      <w:lvlText w:val="%2."/>
      <w:lvlJc w:val="left"/>
      <w:pPr>
        <w:tabs>
          <w:tab w:val="num" w:pos="1440"/>
        </w:tabs>
        <w:ind w:left="1440" w:hanging="36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2621A4"/>
    <w:multiLevelType w:val="hybridMultilevel"/>
    <w:tmpl w:val="71E4D51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D247C"/>
    <w:multiLevelType w:val="hybridMultilevel"/>
    <w:tmpl w:val="B020535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957FE2"/>
    <w:multiLevelType w:val="hybridMultilevel"/>
    <w:tmpl w:val="2116CD5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A299E"/>
    <w:multiLevelType w:val="hybridMultilevel"/>
    <w:tmpl w:val="9A46D9A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344BDB"/>
    <w:multiLevelType w:val="hybridMultilevel"/>
    <w:tmpl w:val="A8043D3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72B5C73"/>
    <w:multiLevelType w:val="hybridMultilevel"/>
    <w:tmpl w:val="FEFCD61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646F54"/>
    <w:multiLevelType w:val="hybridMultilevel"/>
    <w:tmpl w:val="9B2C4B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3367F3"/>
    <w:multiLevelType w:val="hybridMultilevel"/>
    <w:tmpl w:val="AB7A0EC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12047AD"/>
    <w:multiLevelType w:val="hybridMultilevel"/>
    <w:tmpl w:val="C72432A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A64E14"/>
    <w:multiLevelType w:val="hybridMultilevel"/>
    <w:tmpl w:val="365833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8C104C3"/>
    <w:multiLevelType w:val="hybridMultilevel"/>
    <w:tmpl w:val="C870035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7437AC"/>
    <w:multiLevelType w:val="hybridMultilevel"/>
    <w:tmpl w:val="DD081FA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E3742"/>
    <w:multiLevelType w:val="hybridMultilevel"/>
    <w:tmpl w:val="326E0638"/>
    <w:lvl w:ilvl="0" w:tplc="04090005">
      <w:start w:val="1"/>
      <w:numFmt w:val="bullet"/>
      <w:lvlText w:val=""/>
      <w:lvlJc w:val="left"/>
      <w:pPr>
        <w:tabs>
          <w:tab w:val="num" w:pos="1080"/>
        </w:tabs>
        <w:ind w:left="1080" w:hanging="360"/>
      </w:pPr>
      <w:rPr>
        <w:rFonts w:ascii="Wingdings" w:hAnsi="Wingdings" w:hint="default"/>
        <w:sz w:val="22"/>
        <w:szCs w:val="22"/>
      </w:rPr>
    </w:lvl>
    <w:lvl w:ilvl="1" w:tplc="04090005">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0E972FD"/>
    <w:multiLevelType w:val="hybridMultilevel"/>
    <w:tmpl w:val="1DF82A5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61F4926"/>
    <w:multiLevelType w:val="hybridMultilevel"/>
    <w:tmpl w:val="828A5D36"/>
    <w:lvl w:ilvl="0" w:tplc="36E2E53C">
      <w:start w:val="1"/>
      <w:numFmt w:val="bullet"/>
      <w:pStyle w:val="Bulletinfootnote-1stleve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7A4ADB"/>
    <w:multiLevelType w:val="hybridMultilevel"/>
    <w:tmpl w:val="7D48C9E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7B5F4C"/>
    <w:multiLevelType w:val="hybridMultilevel"/>
    <w:tmpl w:val="C5E21E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4"/>
  </w:num>
  <w:num w:numId="3">
    <w:abstractNumId w:val="32"/>
  </w:num>
  <w:num w:numId="4">
    <w:abstractNumId w:val="18"/>
  </w:num>
  <w:num w:numId="5">
    <w:abstractNumId w:val="6"/>
  </w:num>
  <w:num w:numId="6">
    <w:abstractNumId w:val="25"/>
  </w:num>
  <w:num w:numId="7">
    <w:abstractNumId w:val="7"/>
  </w:num>
  <w:num w:numId="8">
    <w:abstractNumId w:val="5"/>
  </w:num>
  <w:num w:numId="9">
    <w:abstractNumId w:val="41"/>
  </w:num>
  <w:num w:numId="10">
    <w:abstractNumId w:val="0"/>
  </w:num>
  <w:num w:numId="11">
    <w:abstractNumId w:val="9"/>
  </w:num>
  <w:num w:numId="12">
    <w:abstractNumId w:val="11"/>
  </w:num>
  <w:num w:numId="13">
    <w:abstractNumId w:val="4"/>
  </w:num>
  <w:num w:numId="14">
    <w:abstractNumId w:val="8"/>
  </w:num>
  <w:num w:numId="15">
    <w:abstractNumId w:val="27"/>
  </w:num>
  <w:num w:numId="16">
    <w:abstractNumId w:val="36"/>
  </w:num>
  <w:num w:numId="17">
    <w:abstractNumId w:val="30"/>
  </w:num>
  <w:num w:numId="18">
    <w:abstractNumId w:val="15"/>
  </w:num>
  <w:num w:numId="19">
    <w:abstractNumId w:val="13"/>
  </w:num>
  <w:num w:numId="20">
    <w:abstractNumId w:val="24"/>
  </w:num>
  <w:num w:numId="21">
    <w:abstractNumId w:val="22"/>
  </w:num>
  <w:num w:numId="22">
    <w:abstractNumId w:val="37"/>
  </w:num>
  <w:num w:numId="23">
    <w:abstractNumId w:val="23"/>
  </w:num>
  <w:num w:numId="24">
    <w:abstractNumId w:val="33"/>
  </w:num>
  <w:num w:numId="25">
    <w:abstractNumId w:val="2"/>
  </w:num>
  <w:num w:numId="26">
    <w:abstractNumId w:val="19"/>
  </w:num>
  <w:num w:numId="27">
    <w:abstractNumId w:val="16"/>
  </w:num>
  <w:num w:numId="28">
    <w:abstractNumId w:val="28"/>
  </w:num>
  <w:num w:numId="29">
    <w:abstractNumId w:val="29"/>
  </w:num>
  <w:num w:numId="30">
    <w:abstractNumId w:val="1"/>
  </w:num>
  <w:num w:numId="31">
    <w:abstractNumId w:val="20"/>
  </w:num>
  <w:num w:numId="32">
    <w:abstractNumId w:val="17"/>
  </w:num>
  <w:num w:numId="33">
    <w:abstractNumId w:val="12"/>
  </w:num>
  <w:num w:numId="34">
    <w:abstractNumId w:val="3"/>
  </w:num>
  <w:num w:numId="35">
    <w:abstractNumId w:val="38"/>
  </w:num>
  <w:num w:numId="36">
    <w:abstractNumId w:val="35"/>
  </w:num>
  <w:num w:numId="37">
    <w:abstractNumId w:val="10"/>
  </w:num>
  <w:num w:numId="38">
    <w:abstractNumId w:val="40"/>
  </w:num>
  <w:num w:numId="39">
    <w:abstractNumId w:val="26"/>
  </w:num>
  <w:num w:numId="40">
    <w:abstractNumId w:val="31"/>
  </w:num>
  <w:num w:numId="41">
    <w:abstractNumId w:val="34"/>
  </w:num>
  <w:num w:numId="42">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65C4D"/>
    <w:rsid w:val="00077484"/>
    <w:rsid w:val="000B6182"/>
    <w:rsid w:val="00131D24"/>
    <w:rsid w:val="00131ED5"/>
    <w:rsid w:val="00153D87"/>
    <w:rsid w:val="001C597F"/>
    <w:rsid w:val="00214C57"/>
    <w:rsid w:val="002456DC"/>
    <w:rsid w:val="002A317A"/>
    <w:rsid w:val="002C7896"/>
    <w:rsid w:val="002F497B"/>
    <w:rsid w:val="003017B2"/>
    <w:rsid w:val="00381955"/>
    <w:rsid w:val="003C78D0"/>
    <w:rsid w:val="004076B6"/>
    <w:rsid w:val="004241FF"/>
    <w:rsid w:val="00437489"/>
    <w:rsid w:val="0049515A"/>
    <w:rsid w:val="004B1A48"/>
    <w:rsid w:val="0052031B"/>
    <w:rsid w:val="0053220B"/>
    <w:rsid w:val="00545344"/>
    <w:rsid w:val="00551E98"/>
    <w:rsid w:val="0055792B"/>
    <w:rsid w:val="0059687F"/>
    <w:rsid w:val="005A483D"/>
    <w:rsid w:val="005C0EA2"/>
    <w:rsid w:val="005F5D49"/>
    <w:rsid w:val="00644539"/>
    <w:rsid w:val="0066634D"/>
    <w:rsid w:val="00666FEA"/>
    <w:rsid w:val="00667D9C"/>
    <w:rsid w:val="00693331"/>
    <w:rsid w:val="006938EE"/>
    <w:rsid w:val="00695FE5"/>
    <w:rsid w:val="00703B5F"/>
    <w:rsid w:val="00711436"/>
    <w:rsid w:val="0074091F"/>
    <w:rsid w:val="007C1396"/>
    <w:rsid w:val="007D2166"/>
    <w:rsid w:val="008218DF"/>
    <w:rsid w:val="0082386F"/>
    <w:rsid w:val="00827065"/>
    <w:rsid w:val="00833BB0"/>
    <w:rsid w:val="00853CA3"/>
    <w:rsid w:val="008C1A62"/>
    <w:rsid w:val="008D1B70"/>
    <w:rsid w:val="0092155F"/>
    <w:rsid w:val="00942A1C"/>
    <w:rsid w:val="009A7808"/>
    <w:rsid w:val="009E57B6"/>
    <w:rsid w:val="00A13081"/>
    <w:rsid w:val="00A33330"/>
    <w:rsid w:val="00A37C93"/>
    <w:rsid w:val="00A65C35"/>
    <w:rsid w:val="00A9534A"/>
    <w:rsid w:val="00AB7A7D"/>
    <w:rsid w:val="00AC3068"/>
    <w:rsid w:val="00AF2A9F"/>
    <w:rsid w:val="00B0373F"/>
    <w:rsid w:val="00B57732"/>
    <w:rsid w:val="00B73521"/>
    <w:rsid w:val="00BD1029"/>
    <w:rsid w:val="00BD16CB"/>
    <w:rsid w:val="00C31FD1"/>
    <w:rsid w:val="00C40DD6"/>
    <w:rsid w:val="00C71445"/>
    <w:rsid w:val="00C73169"/>
    <w:rsid w:val="00C7598C"/>
    <w:rsid w:val="00CC10D0"/>
    <w:rsid w:val="00CE1F59"/>
    <w:rsid w:val="00CF0853"/>
    <w:rsid w:val="00CF7AF0"/>
    <w:rsid w:val="00D77CBB"/>
    <w:rsid w:val="00D8007E"/>
    <w:rsid w:val="00D95CB7"/>
    <w:rsid w:val="00DA7E7B"/>
    <w:rsid w:val="00DB59F9"/>
    <w:rsid w:val="00EC37F2"/>
    <w:rsid w:val="00F338D1"/>
    <w:rsid w:val="00F410AB"/>
    <w:rsid w:val="00F8060D"/>
    <w:rsid w:val="00F8164C"/>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3"/>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 w:type="character" w:styleId="Hyperlink">
    <w:name w:val="Hyperlink"/>
    <w:basedOn w:val="DefaultParagraphFont"/>
    <w:rsid w:val="00F8164C"/>
    <w:rPr>
      <w:color w:val="0000FF"/>
      <w:u w:val="single"/>
    </w:rPr>
  </w:style>
  <w:style w:type="paragraph" w:customStyle="1" w:styleId="Bulletinfootnote-1stlevel">
    <w:name w:val="Bullet in footnote-1st level"/>
    <w:basedOn w:val="BulletlistBSA-AML"/>
    <w:next w:val="Bodyfootnote-BSA-AML"/>
    <w:rsid w:val="00AF2A9F"/>
    <w:pPr>
      <w:numPr>
        <w:numId w:val="35"/>
      </w:numPr>
      <w:spacing w:after="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865B-D9DF-764C-980E-3397E1D7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Company>CPS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2018-06-06T15:28:00Z</dcterms:created>
  <dcterms:modified xsi:type="dcterms:W3CDTF">2018-06-06T15:28:00Z</dcterms:modified>
</cp:coreProperties>
</file>